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D44BB" w14:textId="48F3124B" w:rsidR="005219DC" w:rsidRPr="005219DC" w:rsidRDefault="005219DC" w:rsidP="005219DC">
      <w:pPr>
        <w:pBdr>
          <w:bottom w:val="single" w:sz="6" w:space="0" w:color="CCCCCC"/>
        </w:pBdr>
        <w:spacing w:after="450" w:line="465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hr-HR" w:eastAsia="en-GB"/>
        </w:rPr>
      </w:pPr>
      <w:r w:rsidRPr="005219D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hr-HR" w:eastAsia="en-GB"/>
        </w:rPr>
        <w:t xml:space="preserve">Vodič za podnošenje zahtjeva za </w:t>
      </w:r>
      <w:r w:rsidR="000D1EA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hr-HR" w:eastAsia="en-GB"/>
        </w:rPr>
        <w:t>ovlašćivanje</w:t>
      </w:r>
      <w:r w:rsidRPr="005219D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hr-HR" w:eastAsia="en-GB"/>
        </w:rPr>
        <w:t xml:space="preserve"> </w:t>
      </w:r>
      <w:r w:rsidR="00017340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hr-HR" w:eastAsia="en-GB"/>
        </w:rPr>
        <w:t>c</w:t>
      </w:r>
      <w:r w:rsidRPr="005219DC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hr-HR" w:eastAsia="en-GB"/>
        </w:rPr>
        <w:t>entra za osposobljavanje strojovođa</w:t>
      </w:r>
    </w:p>
    <w:p w14:paraId="44B8E586" w14:textId="655DD0CB" w:rsidR="005219DC" w:rsidRDefault="00017340" w:rsidP="005219D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O</w:t>
      </w:r>
      <w:r w:rsidR="005219DC"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sposobljavanje strojovođa provode ovlašteni centri za osposobljavanje, a ispite osposobljenosti strojovođa nadziru ovlašteni ispitivači.</w:t>
      </w:r>
      <w:r w:rsidR="00276B7E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Sukladno članku 115. Zakona, o</w:t>
      </w:r>
      <w:r w:rsidR="005219DC"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vlaštenje centara i ispitivača obavlja Agencija.</w:t>
      </w:r>
    </w:p>
    <w:p w14:paraId="32D77FDA" w14:textId="77777777" w:rsidR="00276B7E" w:rsidRPr="005219DC" w:rsidRDefault="00276B7E" w:rsidP="005219D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</w:p>
    <w:p w14:paraId="2A2988AE" w14:textId="1DF63865" w:rsidR="005219DC" w:rsidRPr="005219DC" w:rsidRDefault="005219DC" w:rsidP="005219D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  <w:r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Zahtjev za ovlašteni centar za osposobljavanje strojovođa  može podnijeti pravna osoba koja ispunjava minimalne uvjete za izdavanje ovlaštenja.</w:t>
      </w:r>
      <w:r w:rsidR="00276B7E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 xml:space="preserve"> </w:t>
      </w:r>
      <w:r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Minimalni uvjeti koji se odnose na  izdavanje ovlaštenja za centar za osposobljavanje strojovođa su: </w:t>
      </w:r>
    </w:p>
    <w:p w14:paraId="40F1DC3D" w14:textId="77777777" w:rsidR="005219DC" w:rsidRPr="005219DC" w:rsidRDefault="005219DC" w:rsidP="005219D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</w:p>
    <w:p w14:paraId="166D4A1D" w14:textId="6F778B86" w:rsidR="005219DC" w:rsidRPr="005219DC" w:rsidRDefault="00276B7E" w:rsidP="005219DC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R</w:t>
      </w:r>
      <w:r w:rsidR="005219DC"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aspolaganje učinkovitom upravljačkom strukturom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;</w:t>
      </w:r>
    </w:p>
    <w:p w14:paraId="79C0F846" w14:textId="2AEB1FD1" w:rsidR="005219DC" w:rsidRPr="005219DC" w:rsidRDefault="00276B7E" w:rsidP="005219DC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R</w:t>
      </w:r>
      <w:r w:rsidR="005219DC"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aspolaganje potrebnim osobljem, prostorima i opremom</w:t>
      </w:r>
      <w:r w:rsidR="00E5495A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;</w:t>
      </w:r>
    </w:p>
    <w:p w14:paraId="7B01890A" w14:textId="19306BC5" w:rsidR="005219DC" w:rsidRPr="005219DC" w:rsidRDefault="00276B7E" w:rsidP="005219DC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P</w:t>
      </w:r>
      <w:r w:rsidR="005219DC"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ropisana metodologija kontrole sadržaja, organizacije i trajanja osposobljavanja</w:t>
      </w:r>
      <w:r w:rsidR="00E5495A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;</w:t>
      </w:r>
    </w:p>
    <w:p w14:paraId="04F34F54" w14:textId="71A32C0C" w:rsidR="005219DC" w:rsidRPr="005219DC" w:rsidRDefault="00276B7E" w:rsidP="005219DC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U</w:t>
      </w:r>
      <w:r w:rsidR="005219DC"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spostavljen sustav evidentiranja svih procesa osposobljavanja</w:t>
      </w:r>
      <w:r w:rsidR="00E5495A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;</w:t>
      </w:r>
    </w:p>
    <w:p w14:paraId="05370563" w14:textId="1BDDAD24" w:rsidR="005219DC" w:rsidRPr="005219DC" w:rsidRDefault="00276B7E" w:rsidP="005219DC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U</w:t>
      </w:r>
      <w:r w:rsidR="005219DC"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spostavljen sustav upravljanja kvalitetom osposobljavanja ili jednakovrijedan sustav</w:t>
      </w:r>
      <w:r w:rsidR="00E5495A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;</w:t>
      </w:r>
    </w:p>
    <w:p w14:paraId="2AD65F76" w14:textId="6C0E6617" w:rsidR="005219DC" w:rsidRPr="005219DC" w:rsidRDefault="00276B7E" w:rsidP="005219DC">
      <w:pPr>
        <w:numPr>
          <w:ilvl w:val="0"/>
          <w:numId w:val="1"/>
        </w:num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U</w:t>
      </w:r>
      <w:r w:rsidR="005219DC"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spostavljen sustav za stalno profesionalno usavršavanje, programsku podršku te stručnu, pravnu i tehničku literatur</w:t>
      </w:r>
      <w:r w:rsidR="00E5495A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u.</w:t>
      </w:r>
    </w:p>
    <w:p w14:paraId="6546C83C" w14:textId="77777777" w:rsidR="005219DC" w:rsidRPr="005219DC" w:rsidRDefault="005219DC" w:rsidP="005219DC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</w:p>
    <w:p w14:paraId="7D190A0E" w14:textId="224903C9" w:rsidR="005219DC" w:rsidRPr="005219DC" w:rsidRDefault="005219DC" w:rsidP="005219D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  <w:r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 xml:space="preserve">Za pregled i ispunjavanje </w:t>
      </w:r>
      <w:r w:rsidR="00DB17D3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z</w:t>
      </w:r>
      <w:r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ahtjeva je potreban odgovarajući PDF čitač koji možete preuzeti </w:t>
      </w:r>
      <w:hyperlink r:id="rId5" w:tgtFrame="_blank" w:history="1">
        <w:r w:rsidRPr="005219DC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bdr w:val="none" w:sz="0" w:space="0" w:color="auto" w:frame="1"/>
            <w:lang w:val="hr-HR" w:eastAsia="en-GB"/>
          </w:rPr>
          <w:t>ovdje</w:t>
        </w:r>
        <w:r w:rsidRPr="005219DC">
          <w:rPr>
            <w:rStyle w:val="Hyperlink"/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val="hr-HR" w:eastAsia="en-GB"/>
          </w:rPr>
          <w:t>.</w:t>
        </w:r>
      </w:hyperlink>
    </w:p>
    <w:p w14:paraId="44A3B345" w14:textId="6D4D0C4D" w:rsidR="005219DC" w:rsidRDefault="005219DC" w:rsidP="005219D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  <w:r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 xml:space="preserve">Svi detalji o uvjetima i potrebnoj dokumentaciji za </w:t>
      </w:r>
      <w:r w:rsidR="00DB17D3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ovlašćivanje</w:t>
      </w:r>
      <w:r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 xml:space="preserve"> propisani su u </w:t>
      </w:r>
      <w:hyperlink r:id="rId6" w:history="1">
        <w:r w:rsidR="00B30932" w:rsidRPr="00DB17D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HR" w:eastAsia="en-GB"/>
          </w:rPr>
          <w:t xml:space="preserve">Odluci </w:t>
        </w:r>
        <w:r w:rsidR="00276B7E" w:rsidRPr="00DB17D3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hr-HR" w:eastAsia="en-GB"/>
          </w:rPr>
          <w:t>Komisije 2011/765/EU</w:t>
        </w:r>
      </w:hyperlink>
      <w:r w:rsidR="00276B7E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 xml:space="preserve"> od 22. studenog 2011. </w:t>
      </w:r>
      <w:r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o kriterijima za priznavanje centara za osposobljavanje strojovođa, o kriterijima za priznavanje ispitivača strojovođa i o kriterijima za organizaciju ispitivanja u skladu s Direktivom 2007/59/EZ Europskog parlamenta i Vijeća.</w:t>
      </w:r>
    </w:p>
    <w:p w14:paraId="2CB8B3AB" w14:textId="77777777" w:rsidR="00276B7E" w:rsidRPr="005219DC" w:rsidRDefault="00276B7E" w:rsidP="005219D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</w:p>
    <w:p w14:paraId="57214564" w14:textId="33889E03" w:rsidR="005219DC" w:rsidRPr="005219DC" w:rsidRDefault="005219DC" w:rsidP="005219D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  <w:r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Stoga, u svrhu ispravnog i pravovremenog rješavanja zahtjeva, potrebno je detaljno ispuniti zahtjev (</w:t>
      </w:r>
      <w:r w:rsidRPr="0052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hr-HR" w:eastAsia="en-GB"/>
        </w:rPr>
        <w:t>obrazac preuzmi</w:t>
      </w:r>
      <w:r w:rsidR="005605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hr-HR" w:eastAsia="en-GB"/>
        </w:rPr>
        <w:t xml:space="preserve"> </w:t>
      </w:r>
      <w:hyperlink r:id="rId7" w:history="1">
        <w:r w:rsidR="00560589" w:rsidRPr="00560589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bdr w:val="none" w:sz="0" w:space="0" w:color="auto" w:frame="1"/>
            <w:lang w:val="hr-HR" w:eastAsia="en-GB"/>
          </w:rPr>
          <w:t>ovdje</w:t>
        </w:r>
      </w:hyperlink>
      <w:r w:rsidR="0056058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hr-HR" w:eastAsia="en-GB"/>
        </w:rPr>
        <w:t>)</w:t>
      </w:r>
      <w:r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 te priložiti traženu dokumentaciju.</w:t>
      </w:r>
    </w:p>
    <w:p w14:paraId="661A7181" w14:textId="77777777" w:rsidR="005219DC" w:rsidRPr="005219DC" w:rsidRDefault="005219DC" w:rsidP="005219D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</w:p>
    <w:p w14:paraId="326FF9AD" w14:textId="77777777" w:rsidR="005219DC" w:rsidRPr="005219DC" w:rsidRDefault="005219DC" w:rsidP="005219D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</w:pPr>
      <w:r w:rsidRPr="005219D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val="hr-HR" w:eastAsia="en-GB"/>
        </w:rPr>
        <w:t>Napomena:</w:t>
      </w:r>
      <w:r w:rsidRPr="0052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hr-HR" w:eastAsia="en-GB"/>
        </w:rPr>
        <w:t> Postupak obrade zahtjeva za ovlašteni centar za osposobljavanje strojovođa vodi se prema Zakonu o općem upravnom postupku</w:t>
      </w:r>
      <w:r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 (</w:t>
      </w:r>
      <w:hyperlink r:id="rId8" w:tgtFrame="_blank" w:history="1">
        <w:r w:rsidRPr="005219DC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bdr w:val="none" w:sz="0" w:space="0" w:color="auto" w:frame="1"/>
            <w:lang w:val="hr-HR" w:eastAsia="en-GB"/>
          </w:rPr>
          <w:t>NN 47/09</w:t>
        </w:r>
      </w:hyperlink>
      <w:r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). </w:t>
      </w:r>
      <w:r w:rsidRPr="0052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hr-HR" w:eastAsia="en-GB"/>
        </w:rPr>
        <w:t xml:space="preserve">Zahtjev mora biti razumljiv i potpun da bi se po njemu moglo postupiti.  Svi dokumenti predani uz zahtjev moraju biti prevedeni na hrvatski jezik. Prijevodi svih dokumenata izdanih od ovlaštenih institucija (potvrde, dozvole, uvjerenja, odobrenja i sl.) moraju biti ovjereni od strane ovlaštenog stalnog sudskog tumača za predmetni strani jezik imenovanog od strane hrvatskog suda. Prema Zakonu o upravnim pristojbama, upravna pristojba za obradu zahtjeva iznosi 70,00 kn, a upravna pristojba za dopunu zahtjeva iznosi 20,00 kn. Svaki zahtjev ili dopuna zahtjeva moraju sadržavati upravnu pristojbu koja se plaća državnim </w:t>
      </w:r>
      <w:proofErr w:type="spellStart"/>
      <w:r w:rsidRPr="0052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hr-HR" w:eastAsia="en-GB"/>
        </w:rPr>
        <w:t>biljezima</w:t>
      </w:r>
      <w:proofErr w:type="spellEnd"/>
      <w:r w:rsidRPr="005219DC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  <w:lang w:val="hr-HR" w:eastAsia="en-GB"/>
        </w:rPr>
        <w:t>.</w:t>
      </w:r>
      <w:r w:rsidRPr="005219DC">
        <w:rPr>
          <w:rFonts w:ascii="Times New Roman" w:eastAsia="Times New Roman" w:hAnsi="Times New Roman" w:cs="Times New Roman"/>
          <w:color w:val="333333"/>
          <w:sz w:val="24"/>
          <w:szCs w:val="24"/>
          <w:lang w:val="hr-HR" w:eastAsia="en-GB"/>
        </w:rPr>
        <w:t> </w:t>
      </w:r>
    </w:p>
    <w:p w14:paraId="1199182E" w14:textId="77777777" w:rsidR="00A16783" w:rsidRPr="005219DC" w:rsidRDefault="00560589" w:rsidP="005219DC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A16783" w:rsidRPr="005219DC" w:rsidSect="00E5495A">
      <w:pgSz w:w="12240" w:h="15840"/>
      <w:pgMar w:top="1417" w:right="132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0690F"/>
    <w:multiLevelType w:val="multilevel"/>
    <w:tmpl w:val="5F48E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DC"/>
    <w:rsid w:val="00017340"/>
    <w:rsid w:val="000D1EAB"/>
    <w:rsid w:val="0016759A"/>
    <w:rsid w:val="001767D2"/>
    <w:rsid w:val="001C1D71"/>
    <w:rsid w:val="00276B7E"/>
    <w:rsid w:val="00435582"/>
    <w:rsid w:val="005219DC"/>
    <w:rsid w:val="00560589"/>
    <w:rsid w:val="00566EFC"/>
    <w:rsid w:val="00694C3B"/>
    <w:rsid w:val="007A4D89"/>
    <w:rsid w:val="008D1D6F"/>
    <w:rsid w:val="009774E8"/>
    <w:rsid w:val="009D37C5"/>
    <w:rsid w:val="00B30932"/>
    <w:rsid w:val="00BE3A8F"/>
    <w:rsid w:val="00CE2433"/>
    <w:rsid w:val="00DB17D3"/>
    <w:rsid w:val="00DF3BA6"/>
    <w:rsid w:val="00E5495A"/>
    <w:rsid w:val="00F13433"/>
    <w:rsid w:val="00FE25B7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825283"/>
  <w15:chartTrackingRefBased/>
  <w15:docId w15:val="{BE29AC9E-C6D1-452E-A606-1D01AC43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19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19D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2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219D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219DC"/>
    <w:rPr>
      <w:i/>
      <w:iCs/>
    </w:rPr>
  </w:style>
  <w:style w:type="character" w:styleId="Strong">
    <w:name w:val="Strong"/>
    <w:basedOn w:val="DefaultParagraphFont"/>
    <w:uiPriority w:val="22"/>
    <w:qFormat/>
    <w:rsid w:val="005219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A4D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67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clanci/sluzbeni/2009_04_47_106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z.hr/2020/wp-content/uploads/2020/05/Obrazac-zahtjev-za-centa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HR/TXT/PDF/?uri=CELEX:32011D0765&amp;from=HR" TargetMode="External"/><Relationship Id="rId5" Type="http://schemas.openxmlformats.org/officeDocument/2006/relationships/hyperlink" Target="https://get.adobe.com/hr/reade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Želimir Delač</dc:creator>
  <cp:keywords/>
  <dc:description/>
  <cp:lastModifiedBy>Damir Lakoš</cp:lastModifiedBy>
  <cp:revision>11</cp:revision>
  <dcterms:created xsi:type="dcterms:W3CDTF">2020-05-19T07:41:00Z</dcterms:created>
  <dcterms:modified xsi:type="dcterms:W3CDTF">2020-05-25T16:26:00Z</dcterms:modified>
</cp:coreProperties>
</file>