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F0A1" w14:textId="77777777" w:rsidR="00DD2EFB" w:rsidRDefault="004864A0">
      <w:pPr>
        <w:pStyle w:val="Standard"/>
      </w:pPr>
      <w:bookmarkStart w:id="0" w:name="_Hlk31095032"/>
      <w:bookmarkStart w:id="1" w:name="_Hlk31095009"/>
      <w:r>
        <w:t xml:space="preserve">Naziv obveznika: Agencija za sigurnost željezničkog prometa </w:t>
      </w:r>
      <w:r>
        <w:tab/>
      </w:r>
      <w:r>
        <w:tab/>
        <w:t>Broj RKP-a: 45228</w:t>
      </w:r>
    </w:p>
    <w:p w14:paraId="634E2947" w14:textId="77777777" w:rsidR="00DD2EFB" w:rsidRDefault="004864A0">
      <w:pPr>
        <w:pStyle w:val="Standard"/>
      </w:pPr>
      <w:r>
        <w:t>Sjedište obveznika: ZAGREB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025596633</w:t>
      </w:r>
    </w:p>
    <w:p w14:paraId="48926BFF" w14:textId="77777777" w:rsidR="00DD2EFB" w:rsidRDefault="004864A0">
      <w:pPr>
        <w:pStyle w:val="Standard"/>
      </w:pPr>
      <w:r>
        <w:t>Adresa sjedišta obveznika: Radnička cesta 39</w:t>
      </w:r>
      <w:r>
        <w:tab/>
      </w:r>
      <w:r>
        <w:tab/>
      </w:r>
      <w:r>
        <w:tab/>
      </w:r>
      <w:r>
        <w:tab/>
        <w:t>OIB: 99256282044</w:t>
      </w:r>
    </w:p>
    <w:p w14:paraId="3446025C" w14:textId="77777777" w:rsidR="00DD2EFB" w:rsidRDefault="004864A0">
      <w:pPr>
        <w:pStyle w:val="Standard"/>
      </w:pPr>
      <w:bookmarkStart w:id="2" w:name="_Hlk536192343"/>
      <w:r>
        <w:t>Razina: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8413</w:t>
      </w:r>
    </w:p>
    <w:p w14:paraId="7CD54C66" w14:textId="77777777" w:rsidR="00DD2EFB" w:rsidRDefault="004864A0">
      <w:pPr>
        <w:pStyle w:val="Standard"/>
        <w:tabs>
          <w:tab w:val="left" w:pos="7122"/>
        </w:tabs>
      </w:pPr>
      <w:r>
        <w:t>Razdjel: 065</w:t>
      </w:r>
      <w:r>
        <w:tab/>
        <w:t>Šifra grada/općine: 133</w:t>
      </w:r>
    </w:p>
    <w:p w14:paraId="1DE0E21D" w14:textId="77777777" w:rsidR="00DD2EFB" w:rsidRDefault="004864A0">
      <w:pPr>
        <w:pStyle w:val="Standard"/>
        <w:tabs>
          <w:tab w:val="left" w:pos="7122"/>
        </w:tabs>
      </w:pPr>
      <w:r>
        <w:t xml:space="preserve">IBAN: HR7110010051563101385 – račun HNB-a  </w:t>
      </w:r>
    </w:p>
    <w:bookmarkEnd w:id="2"/>
    <w:p w14:paraId="574F2C27" w14:textId="77777777" w:rsidR="00DD2EFB" w:rsidRDefault="00DD2EFB">
      <w:pPr>
        <w:pStyle w:val="Standard"/>
      </w:pPr>
    </w:p>
    <w:p w14:paraId="135DC829" w14:textId="77777777" w:rsidR="00DD2EFB" w:rsidRDefault="00DD2EFB">
      <w:pPr>
        <w:pStyle w:val="Standard"/>
      </w:pPr>
    </w:p>
    <w:p w14:paraId="0FD48744" w14:textId="77777777" w:rsidR="00DD2EFB" w:rsidRDefault="00DD2EFB">
      <w:pPr>
        <w:pStyle w:val="Standard"/>
      </w:pPr>
    </w:p>
    <w:p w14:paraId="67560249" w14:textId="77777777" w:rsidR="00DD2EFB" w:rsidRDefault="00DD2EFB">
      <w:pPr>
        <w:pStyle w:val="Standard"/>
      </w:pPr>
    </w:p>
    <w:p w14:paraId="69A28867" w14:textId="77777777" w:rsidR="00DD2EFB" w:rsidRDefault="004864A0">
      <w:pPr>
        <w:pStyle w:val="Standard"/>
        <w:jc w:val="center"/>
      </w:pPr>
      <w:r>
        <w:rPr>
          <w:b/>
          <w:bCs/>
        </w:rPr>
        <w:t>Bilješke</w:t>
      </w:r>
    </w:p>
    <w:p w14:paraId="1B57C81D" w14:textId="38C0DF11" w:rsidR="00DD2EFB" w:rsidRDefault="004864A0">
      <w:pPr>
        <w:pStyle w:val="Standard"/>
        <w:jc w:val="center"/>
        <w:rPr>
          <w:b/>
          <w:bCs/>
        </w:rPr>
      </w:pPr>
      <w:r>
        <w:rPr>
          <w:b/>
          <w:bCs/>
        </w:rPr>
        <w:t>uz financijske izvještaje za 202</w:t>
      </w:r>
      <w:r w:rsidR="00171A3F">
        <w:rPr>
          <w:b/>
          <w:bCs/>
        </w:rPr>
        <w:t>1</w:t>
      </w:r>
      <w:r>
        <w:rPr>
          <w:b/>
          <w:bCs/>
        </w:rPr>
        <w:t>. godinu</w:t>
      </w:r>
    </w:p>
    <w:p w14:paraId="11A4BB35" w14:textId="77777777" w:rsidR="00DD2EFB" w:rsidRDefault="00DD2EFB">
      <w:pPr>
        <w:pStyle w:val="Standard"/>
      </w:pPr>
    </w:p>
    <w:p w14:paraId="77AE9C58" w14:textId="77777777" w:rsidR="00DD2EFB" w:rsidRDefault="00DD2EFB">
      <w:pPr>
        <w:pStyle w:val="Standard"/>
      </w:pPr>
    </w:p>
    <w:p w14:paraId="00B0CFBD" w14:textId="77777777" w:rsidR="00DD2EFB" w:rsidRDefault="00DD2EFB">
      <w:pPr>
        <w:pStyle w:val="Standard"/>
      </w:pPr>
    </w:p>
    <w:p w14:paraId="1A1E2B34" w14:textId="77777777" w:rsidR="00DD2EFB" w:rsidRDefault="004864A0">
      <w:pPr>
        <w:pStyle w:val="Standard"/>
        <w:jc w:val="both"/>
      </w:pPr>
      <w:r>
        <w:t>Agencija za sigurnost željezničkog prometa (u daljnjem tekstu: Agencija) osnovana je dana 13. 05. 2009. godine prema rješenju Trgovačkog suda u Zagrebu (broj rješenja: Tt-09/5151-2) sa sjedištem u Zagrebu, Prisavlje 14.</w:t>
      </w:r>
    </w:p>
    <w:p w14:paraId="126C1D72" w14:textId="2E4C791C" w:rsidR="00DD2EFB" w:rsidRDefault="004864A0">
      <w:pPr>
        <w:pStyle w:val="Standard"/>
        <w:jc w:val="both"/>
      </w:pPr>
      <w:r>
        <w:t>Napomena: Agencija od 31.01.2013. posluje na adresi, Radnička cesta 39, 10000 Zagreb.</w:t>
      </w:r>
    </w:p>
    <w:p w14:paraId="58B25C31" w14:textId="77777777" w:rsidR="00DD2EFB" w:rsidRDefault="004864A0">
      <w:pPr>
        <w:pStyle w:val="Standard"/>
        <w:jc w:val="both"/>
      </w:pPr>
      <w:r>
        <w:t>Broj registarskog uloška je 080696493.</w:t>
      </w:r>
    </w:p>
    <w:p w14:paraId="4D87A7B8" w14:textId="77777777" w:rsidR="00DD2EFB" w:rsidRDefault="004864A0">
      <w:pPr>
        <w:pStyle w:val="Standard"/>
        <w:jc w:val="both"/>
      </w:pPr>
      <w:r>
        <w:t>Osnivač Agencije je Republika Hrvatska, tada zastupana po Smolčić Žarku pojedinačno i samostalno, kao obnašatelju dužnosti ravnatelja. Od 01.05.2011. dužnost ravnatelja je preuzeo Vladimir Habuš, a od 17.02.2015. na dužnosti je Želimir Delač, dipl. ing. el.</w:t>
      </w:r>
    </w:p>
    <w:p w14:paraId="683A0CD1" w14:textId="77777777" w:rsidR="00DD2EFB" w:rsidRDefault="00DD2EFB">
      <w:pPr>
        <w:pStyle w:val="Standard"/>
        <w:jc w:val="both"/>
      </w:pPr>
    </w:p>
    <w:p w14:paraId="160A9900" w14:textId="77777777" w:rsidR="00DD2EFB" w:rsidRDefault="004864A0">
      <w:pPr>
        <w:pStyle w:val="Standard"/>
        <w:jc w:val="both"/>
      </w:pPr>
      <w:r>
        <w:t>Djelatnost Agencije obuhvaća poslove vezane za sigurnost željezničkog sustava što uključuje poslove vezane uz potvrde i uvjerenja o sigurnosti, odobrenja, dozvole i druga ovlaštenja te nadzor i inspekciju u cilju osiguravanja kontinuiranog zadovoljenja zahtjevima za sigurnost željezničkog sustava. Ostale djelatnosti uključuju vođenje propisanih registara te obavljanje drugih poslova utvrđenih Zakonom o sigurnosti i interoperabilnosti željezničkog sustava (Narodne novine, NN 63/20; u daljnjem tekstu: Zakon).</w:t>
      </w:r>
    </w:p>
    <w:p w14:paraId="2F9C5E22" w14:textId="77777777" w:rsidR="00DD2EFB" w:rsidRDefault="00DD2EFB">
      <w:pPr>
        <w:pStyle w:val="Standard"/>
        <w:jc w:val="both"/>
      </w:pPr>
    </w:p>
    <w:p w14:paraId="1CD3FC9F" w14:textId="77777777" w:rsidR="00DD2EFB" w:rsidRDefault="004864A0">
      <w:pPr>
        <w:pStyle w:val="Standard"/>
        <w:jc w:val="both"/>
      </w:pPr>
      <w:r>
        <w:t>Agencija svoju djelatnost ne obavlja radi stjecanja dobiti.</w:t>
      </w:r>
    </w:p>
    <w:p w14:paraId="0B8F1111" w14:textId="77777777" w:rsidR="00DD2EFB" w:rsidRDefault="004864A0">
      <w:pPr>
        <w:pStyle w:val="Standard"/>
        <w:jc w:val="both"/>
      </w:pPr>
      <w:r>
        <w:t>Sredstva za obavljanje djelatnosti Agencije osiguravaju se iz državnog proračuna Republike Hrvatske koji uključuje sredstva doznačena od Agencije Europske unije za željeznice temeljem članka 8. stavka 6. Zakona.</w:t>
      </w:r>
    </w:p>
    <w:p w14:paraId="0A8E8096" w14:textId="0C4C021B" w:rsidR="00DD2EFB" w:rsidRDefault="004864A0">
      <w:pPr>
        <w:pStyle w:val="Standard"/>
        <w:jc w:val="both"/>
      </w:pPr>
      <w:r>
        <w:t>Agencija je tijekom 202</w:t>
      </w:r>
      <w:r w:rsidR="00171A3F">
        <w:t>1</w:t>
      </w:r>
      <w:r>
        <w:t xml:space="preserve">. godine dobivala novac od Državnog proračuna na žiro račun otvoren kod Hrvatske Narodne banke, </w:t>
      </w:r>
      <w:bookmarkStart w:id="3" w:name="_Hlk63063021"/>
      <w:r>
        <w:t>HR7110010051563101385</w:t>
      </w:r>
      <w:bookmarkEnd w:id="3"/>
      <w:r>
        <w:t xml:space="preserve"> za podmirenje troškova kako slijedi: plaće zaposlenika, naknade za rad zaposlenika po ugovoru o djelu, službena putovanja, neoporezivi primici te naknade za ostala izvršna tijela, dok su se ostali rashodi trošili direktno iz proračuna kroz Državnu riznicu. </w:t>
      </w:r>
    </w:p>
    <w:p w14:paraId="17E7B1F1" w14:textId="77777777" w:rsidR="00DD2EFB" w:rsidRDefault="00DD2EFB">
      <w:pPr>
        <w:pStyle w:val="Standard"/>
        <w:jc w:val="both"/>
      </w:pPr>
    </w:p>
    <w:p w14:paraId="2EA22DEA" w14:textId="5FBFC9B6" w:rsidR="00DD2EFB" w:rsidRDefault="004864A0">
      <w:pPr>
        <w:pStyle w:val="Standard"/>
        <w:jc w:val="both"/>
      </w:pPr>
      <w:r>
        <w:t>Broj zaposlenih u 202</w:t>
      </w:r>
      <w:r w:rsidR="00171A3F">
        <w:t>1</w:t>
      </w:r>
      <w:r>
        <w:t>. iznosio je 1</w:t>
      </w:r>
      <w:r w:rsidR="00171A3F">
        <w:t>5</w:t>
      </w:r>
      <w:r>
        <w:t xml:space="preserve">. </w:t>
      </w:r>
    </w:p>
    <w:p w14:paraId="1EC828CD" w14:textId="77777777" w:rsidR="00DD2EFB" w:rsidRDefault="00DD2EFB">
      <w:pPr>
        <w:pStyle w:val="Standard"/>
        <w:jc w:val="both"/>
      </w:pPr>
    </w:p>
    <w:p w14:paraId="7FD1FC30" w14:textId="77777777" w:rsidR="00DD2EFB" w:rsidRDefault="004864A0">
      <w:pPr>
        <w:pStyle w:val="Standard"/>
        <w:jc w:val="both"/>
      </w:pPr>
      <w:r>
        <w:t>Prihodi se priznaju na temelju priljeva novčanih sredstava u izvještajnom razdoblju.</w:t>
      </w:r>
    </w:p>
    <w:p w14:paraId="35C4B4B9" w14:textId="77777777" w:rsidR="00DD2EFB" w:rsidRDefault="004864A0">
      <w:pPr>
        <w:pStyle w:val="Standard"/>
        <w:jc w:val="both"/>
      </w:pPr>
      <w:r>
        <w:t>Rashodi se priznaju na temelju nastanka poslovnog događaja (obveza) i u izvještajnom razdoblju neovisno o plaćanju.</w:t>
      </w:r>
    </w:p>
    <w:p w14:paraId="5655FDA4" w14:textId="77777777" w:rsidR="00DD2EFB" w:rsidRDefault="00DD2EFB">
      <w:pPr>
        <w:pStyle w:val="Standard"/>
        <w:jc w:val="both"/>
      </w:pPr>
    </w:p>
    <w:p w14:paraId="3BF04DA7" w14:textId="77777777" w:rsidR="00DD2EFB" w:rsidRDefault="004864A0">
      <w:pPr>
        <w:pStyle w:val="Standard"/>
        <w:jc w:val="both"/>
      </w:pPr>
      <w:r>
        <w:t xml:space="preserve">Odgovorna osoba za sastavljanje bilješki uz financijske izvještaje je Maja </w:t>
      </w:r>
      <w:proofErr w:type="spellStart"/>
      <w:r>
        <w:t>Doljan</w:t>
      </w:r>
      <w:proofErr w:type="spellEnd"/>
      <w:r>
        <w:t>, osoba kojoj je povjereno vođenje računovodstva temeljem Ugovora o pružanju usluga računovodstva i knjigovodstva.</w:t>
      </w:r>
    </w:p>
    <w:p w14:paraId="0CDFC7AD" w14:textId="77777777" w:rsidR="00DD2EFB" w:rsidRDefault="00DD2EFB">
      <w:pPr>
        <w:pStyle w:val="Standard"/>
      </w:pPr>
    </w:p>
    <w:p w14:paraId="7FFC00AD" w14:textId="77777777" w:rsidR="00DD2EFB" w:rsidRDefault="00DD2EFB">
      <w:pPr>
        <w:pStyle w:val="Standard"/>
      </w:pPr>
    </w:p>
    <w:p w14:paraId="01B2DBF8" w14:textId="77777777" w:rsidR="00DD2EFB" w:rsidRDefault="00DD2EFB">
      <w:pPr>
        <w:pStyle w:val="Standard"/>
      </w:pPr>
    </w:p>
    <w:p w14:paraId="45AD7AF5" w14:textId="57B349B4" w:rsidR="00DD2EFB" w:rsidRDefault="00DD2EFB">
      <w:pPr>
        <w:pStyle w:val="Standard"/>
      </w:pPr>
    </w:p>
    <w:p w14:paraId="141F5888" w14:textId="11942097" w:rsidR="00441455" w:rsidRDefault="00441455">
      <w:pPr>
        <w:pStyle w:val="Standard"/>
      </w:pPr>
    </w:p>
    <w:p w14:paraId="7AB309C2" w14:textId="77777777" w:rsidR="00441455" w:rsidRDefault="00441455">
      <w:pPr>
        <w:pStyle w:val="Standard"/>
      </w:pPr>
    </w:p>
    <w:p w14:paraId="2B52D5E2" w14:textId="77777777" w:rsidR="00DD2EFB" w:rsidRDefault="00DD2EFB">
      <w:pPr>
        <w:pStyle w:val="Standard"/>
      </w:pPr>
    </w:p>
    <w:p w14:paraId="0BEB332D" w14:textId="77777777" w:rsidR="00DD2EFB" w:rsidRDefault="00DD2EFB">
      <w:pPr>
        <w:pStyle w:val="Standard"/>
      </w:pPr>
    </w:p>
    <w:p w14:paraId="59170C74" w14:textId="2BA0226D" w:rsidR="00DD2EFB" w:rsidRDefault="004864A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Bilješke uz bilancu na dan 31.12.202</w:t>
      </w:r>
      <w:r w:rsidR="00171A3F">
        <w:rPr>
          <w:b/>
          <w:bCs/>
        </w:rPr>
        <w:t>1</w:t>
      </w:r>
      <w:r>
        <w:rPr>
          <w:b/>
          <w:bCs/>
        </w:rPr>
        <w:t>. godine</w:t>
      </w:r>
    </w:p>
    <w:p w14:paraId="6445B4D1" w14:textId="77777777" w:rsidR="00DD2EFB" w:rsidRDefault="00DD2EFB">
      <w:pPr>
        <w:pStyle w:val="Standard"/>
        <w:rPr>
          <w:b/>
          <w:bCs/>
        </w:rPr>
      </w:pPr>
    </w:p>
    <w:p w14:paraId="61369C0D" w14:textId="77777777" w:rsidR="00DD2EFB" w:rsidRDefault="00DD2EFB">
      <w:pPr>
        <w:pStyle w:val="Standard"/>
        <w:rPr>
          <w:b/>
          <w:bCs/>
        </w:rPr>
      </w:pPr>
    </w:p>
    <w:p w14:paraId="070D8EAB" w14:textId="77777777" w:rsidR="00DD2EFB" w:rsidRDefault="004864A0">
      <w:pPr>
        <w:pStyle w:val="Standard"/>
        <w:rPr>
          <w:u w:val="single"/>
        </w:rPr>
      </w:pPr>
      <w:r>
        <w:rPr>
          <w:u w:val="single"/>
        </w:rPr>
        <w:t xml:space="preserve">Bilješka uz AOP 003 – </w:t>
      </w:r>
      <w:proofErr w:type="spellStart"/>
      <w:r>
        <w:rPr>
          <w:u w:val="single"/>
        </w:rPr>
        <w:t>Neproizvedena</w:t>
      </w:r>
      <w:proofErr w:type="spellEnd"/>
      <w:r>
        <w:rPr>
          <w:u w:val="single"/>
        </w:rPr>
        <w:t xml:space="preserve"> dugotrajna imovina</w:t>
      </w:r>
    </w:p>
    <w:p w14:paraId="2E26F7D6" w14:textId="77777777" w:rsidR="00DD2EFB" w:rsidRDefault="00DD2EFB">
      <w:pPr>
        <w:pStyle w:val="Standard"/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680"/>
      </w:tblGrid>
      <w:tr w:rsidR="00DD2EFB" w14:paraId="2EF285C1" w14:textId="77777777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8BAF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Račun iz </w:t>
            </w:r>
            <w:proofErr w:type="spellStart"/>
            <w:r>
              <w:rPr>
                <w:sz w:val="18"/>
                <w:szCs w:val="18"/>
              </w:rPr>
              <w:t>rač.plana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823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DA1D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6BDE" w14:textId="1CD1F58D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Stanje 01. sije</w:t>
            </w:r>
            <w:r w:rsidR="00171A3F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nja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FB9E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Stanje 31. prosinca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9951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</w:tr>
      <w:tr w:rsidR="00DD2EFB" w14:paraId="1DBF5AFA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201F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8486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imovina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E511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9598" w14:textId="70D34423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25FE7">
              <w:rPr>
                <w:sz w:val="18"/>
                <w:szCs w:val="18"/>
              </w:rPr>
              <w:t>4.136,03</w:t>
            </w:r>
            <w:r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A894" w14:textId="79092DE8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226.792,28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3718" w14:textId="2E468CA4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FE7">
              <w:rPr>
                <w:sz w:val="18"/>
                <w:szCs w:val="18"/>
              </w:rPr>
              <w:t>05,90</w:t>
            </w:r>
          </w:p>
        </w:tc>
      </w:tr>
      <w:tr w:rsidR="00DD2EFB" w14:paraId="54C3C635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F8B1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9044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Ispr.vrijednosti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neproizv.dugotr.imovine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651B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0A5EE" w14:textId="065AC35F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FE7">
              <w:rPr>
                <w:sz w:val="18"/>
                <w:szCs w:val="18"/>
              </w:rPr>
              <w:t>82.625,04</w:t>
            </w:r>
            <w:r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9599" w14:textId="6E5433BC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204.475,37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9C4E8" w14:textId="34A2B2CC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25FE7">
              <w:rPr>
                <w:sz w:val="18"/>
                <w:szCs w:val="18"/>
              </w:rPr>
              <w:t>2,00</w:t>
            </w:r>
          </w:p>
        </w:tc>
      </w:tr>
    </w:tbl>
    <w:p w14:paraId="7597B57E" w14:textId="77777777" w:rsidR="00DD2EFB" w:rsidRDefault="00DD2EFB">
      <w:pPr>
        <w:pStyle w:val="Standard"/>
        <w:rPr>
          <w:b/>
          <w:bCs/>
        </w:rPr>
      </w:pPr>
    </w:p>
    <w:p w14:paraId="581AA599" w14:textId="77777777" w:rsidR="00DD2EFB" w:rsidRDefault="00DD2EFB">
      <w:pPr>
        <w:pStyle w:val="Standard"/>
        <w:rPr>
          <w:b/>
          <w:bCs/>
        </w:rPr>
      </w:pPr>
    </w:p>
    <w:p w14:paraId="114FBE1E" w14:textId="77777777" w:rsidR="00DD2EFB" w:rsidRDefault="004864A0">
      <w:pPr>
        <w:pStyle w:val="Standard"/>
        <w:rPr>
          <w:u w:val="single"/>
        </w:rPr>
      </w:pPr>
      <w:r>
        <w:rPr>
          <w:u w:val="single"/>
        </w:rPr>
        <w:t>Bilješka uz AOP 007 – Proizvedena dugotrajna imovina</w:t>
      </w:r>
    </w:p>
    <w:p w14:paraId="3B3D4F14" w14:textId="77777777" w:rsidR="00DD2EFB" w:rsidRDefault="00DD2EFB">
      <w:pPr>
        <w:pStyle w:val="Standard"/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680"/>
      </w:tblGrid>
      <w:tr w:rsidR="00DD2EFB" w14:paraId="21219733" w14:textId="77777777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855D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Račun iz </w:t>
            </w:r>
            <w:proofErr w:type="spellStart"/>
            <w:r>
              <w:rPr>
                <w:sz w:val="18"/>
                <w:szCs w:val="18"/>
              </w:rPr>
              <w:t>rač.plana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0520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42E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DDE1" w14:textId="0AA9E40A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Stanje 01. sije</w:t>
            </w:r>
            <w:r w:rsidR="00525FE7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nja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E20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Stanje 31. prosinca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3492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</w:tr>
      <w:tr w:rsidR="00DD2EFB" w14:paraId="5F191058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4CAB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bookmarkStart w:id="4" w:name="_Hlk62804998"/>
            <w:r>
              <w:rPr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02BD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Materijalna imovina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A0136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015, 016, 019, 021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501A" w14:textId="6E4B9E27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920.565,37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ED54" w14:textId="7937317F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846.393,55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A154" w14:textId="0101A349" w:rsidR="00DD2EFB" w:rsidRDefault="0048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FE7">
              <w:rPr>
                <w:sz w:val="18"/>
                <w:szCs w:val="18"/>
              </w:rPr>
              <w:t>01,20</w:t>
            </w:r>
          </w:p>
        </w:tc>
      </w:tr>
      <w:tr w:rsidR="00DD2EFB" w14:paraId="6E0F685C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4F17C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0300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Ispr.vrijednosti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mat.dugotr.imovine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18D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F34CB" w14:textId="7EFCB842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25FE7">
              <w:rPr>
                <w:sz w:val="18"/>
                <w:szCs w:val="18"/>
              </w:rPr>
              <w:t>95.678,26</w:t>
            </w:r>
            <w:r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223E" w14:textId="4421D3CE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838.145,55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7DD7" w14:textId="6DA11BBD" w:rsidR="00DD2EFB" w:rsidRDefault="0048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25FE7">
              <w:rPr>
                <w:sz w:val="18"/>
                <w:szCs w:val="18"/>
              </w:rPr>
              <w:t>5,30</w:t>
            </w:r>
          </w:p>
        </w:tc>
      </w:tr>
      <w:bookmarkEnd w:id="4"/>
      <w:tr w:rsidR="00DD2EFB" w14:paraId="3CC2F224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87A8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82A26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imovina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BFC9" w14:textId="77777777" w:rsidR="00DD2EFB" w:rsidRDefault="0048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B3C8A" w14:textId="6056D9AA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97.852,73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4EA8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97.852,73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3251" w14:textId="61BA0017" w:rsidR="00DD2EFB" w:rsidRDefault="0048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FE7">
              <w:rPr>
                <w:sz w:val="18"/>
                <w:szCs w:val="18"/>
              </w:rPr>
              <w:t>00,00</w:t>
            </w:r>
          </w:p>
        </w:tc>
      </w:tr>
      <w:tr w:rsidR="00DD2EFB" w14:paraId="32A67781" w14:textId="7777777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2912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50C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Ispr.vrijednosti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nemat.dugotr.imovine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002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4098" w14:textId="0ECCC3C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25FE7">
              <w:rPr>
                <w:sz w:val="18"/>
                <w:szCs w:val="18"/>
              </w:rPr>
              <w:t>8.048,04</w:t>
            </w:r>
            <w:r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F24A" w14:textId="067D845E" w:rsidR="00DD2EFB" w:rsidRDefault="00525F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84.141,79</w:t>
            </w:r>
            <w:r w:rsidR="004864A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F060" w14:textId="1C7C9300" w:rsidR="00DD2EFB" w:rsidRDefault="0048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25FE7">
              <w:rPr>
                <w:sz w:val="18"/>
                <w:szCs w:val="18"/>
              </w:rPr>
              <w:t>7,80</w:t>
            </w:r>
          </w:p>
        </w:tc>
      </w:tr>
    </w:tbl>
    <w:p w14:paraId="37436788" w14:textId="77777777" w:rsidR="00DD2EFB" w:rsidRDefault="00DD2EFB">
      <w:pPr>
        <w:pStyle w:val="Standard"/>
      </w:pPr>
    </w:p>
    <w:p w14:paraId="2FE793D0" w14:textId="46320E74" w:rsidR="00DD2EFB" w:rsidRDefault="004864A0">
      <w:pPr>
        <w:pStyle w:val="Standard"/>
      </w:pPr>
      <w:r>
        <w:t>U 202</w:t>
      </w:r>
      <w:r w:rsidR="00171A3F">
        <w:t>1</w:t>
      </w:r>
      <w:r>
        <w:t xml:space="preserve">. godini Agencija je nabavila materijalnu i nematerijalnu imovinu u vrijednosti od </w:t>
      </w:r>
      <w:r w:rsidR="00BB074E">
        <w:t>38.104,32</w:t>
      </w:r>
      <w:r>
        <w:t xml:space="preserve"> kn. Najveći dio se odnosi na </w:t>
      </w:r>
      <w:r w:rsidR="00BB074E">
        <w:t>uredski namještaj</w:t>
      </w:r>
      <w:r>
        <w:t xml:space="preserve">, zatim licence </w:t>
      </w:r>
      <w:r w:rsidR="00BB074E">
        <w:t xml:space="preserve">te na telefone i ostale komunikacijske uređaje. </w:t>
      </w:r>
    </w:p>
    <w:p w14:paraId="0961538F" w14:textId="44AD32E7" w:rsidR="00BB074E" w:rsidRDefault="00BB074E">
      <w:pPr>
        <w:pStyle w:val="Standard"/>
      </w:pPr>
      <w:r>
        <w:t>Rashodovala se oštećena i neupotrebljiva dugotrajna nefinancijska imovina  (uredski namještaj) ukupne nabavne vrijednosti 10.369,71 kn.</w:t>
      </w:r>
    </w:p>
    <w:p w14:paraId="43869D30" w14:textId="1E49090A" w:rsidR="00DA4D88" w:rsidRDefault="00DA4D88">
      <w:pPr>
        <w:pStyle w:val="Standard"/>
      </w:pPr>
    </w:p>
    <w:p w14:paraId="6387F487" w14:textId="1256B596" w:rsidR="00DA4D88" w:rsidRDefault="00DA4D88" w:rsidP="00DA4D88">
      <w:pPr>
        <w:pStyle w:val="Standard"/>
        <w:rPr>
          <w:u w:val="single"/>
        </w:rPr>
      </w:pPr>
    </w:p>
    <w:p w14:paraId="6B150CB4" w14:textId="64ACB67E" w:rsidR="00103C04" w:rsidRDefault="00103C04" w:rsidP="00DA4D88">
      <w:pPr>
        <w:pStyle w:val="Standard"/>
        <w:rPr>
          <w:u w:val="single"/>
        </w:rPr>
      </w:pPr>
      <w:r>
        <w:rPr>
          <w:u w:val="single"/>
        </w:rPr>
        <w:t>Bilješka uz AOP 081 – Ostala potraživanja</w:t>
      </w:r>
    </w:p>
    <w:p w14:paraId="51C1CB53" w14:textId="12A22013" w:rsidR="00DA4D88" w:rsidRDefault="00DA4D88" w:rsidP="00DA4D88">
      <w:pPr>
        <w:pStyle w:val="Standard"/>
        <w:rPr>
          <w:u w:val="single"/>
        </w:rPr>
      </w:pPr>
    </w:p>
    <w:p w14:paraId="0FA201E6" w14:textId="588CE0C6" w:rsidR="00DA4D88" w:rsidRPr="00DA4D88" w:rsidRDefault="00DA4D88" w:rsidP="00DA4D88">
      <w:pPr>
        <w:pStyle w:val="Standard"/>
      </w:pPr>
      <w:r>
        <w:t xml:space="preserve">U listopadu 2021. godine </w:t>
      </w:r>
      <w:r w:rsidR="00103C04">
        <w:t xml:space="preserve">obračunala se i isplatila </w:t>
      </w:r>
      <w:r>
        <w:t>naknada za bolovanje na teret poslodavca</w:t>
      </w:r>
      <w:r w:rsidR="00103C04">
        <w:t xml:space="preserve"> do 42 dana</w:t>
      </w:r>
      <w:r>
        <w:t xml:space="preserve"> koja je kasnije priznata kao ozljeda na radu te se morao raditi ispravak prethodno isplaćene naknade. </w:t>
      </w:r>
      <w:r w:rsidR="00103C04">
        <w:t>Tim ispravkom stvoren</w:t>
      </w:r>
      <w:r w:rsidR="00716EC6">
        <w:t>o</w:t>
      </w:r>
      <w:r w:rsidR="00103C04">
        <w:t xml:space="preserve"> </w:t>
      </w:r>
      <w:r w:rsidR="00716EC6">
        <w:t>je</w:t>
      </w:r>
      <w:r w:rsidR="00103C04">
        <w:t xml:space="preserve"> potraživanj</w:t>
      </w:r>
      <w:r w:rsidR="00716EC6">
        <w:t>e</w:t>
      </w:r>
      <w:r w:rsidR="00103C04">
        <w:t xml:space="preserve"> za naknade koje se refundiraju u iznosu od 22.697,04 kn.</w:t>
      </w:r>
    </w:p>
    <w:p w14:paraId="7E947764" w14:textId="20B5441F" w:rsidR="00DA4D88" w:rsidRDefault="00DA4D88" w:rsidP="00DA4D88">
      <w:pPr>
        <w:pStyle w:val="Standard"/>
        <w:rPr>
          <w:u w:val="single"/>
        </w:rPr>
      </w:pPr>
    </w:p>
    <w:p w14:paraId="72EC8CDC" w14:textId="77777777" w:rsidR="00DA4D88" w:rsidRDefault="00DA4D88">
      <w:pPr>
        <w:pStyle w:val="Standard"/>
      </w:pPr>
    </w:p>
    <w:p w14:paraId="44C9D63C" w14:textId="77777777" w:rsidR="00DD2EFB" w:rsidRDefault="00DD2EFB">
      <w:pPr>
        <w:pStyle w:val="Standard"/>
      </w:pPr>
    </w:p>
    <w:p w14:paraId="0E2CA0F4" w14:textId="77777777" w:rsidR="00DD2EFB" w:rsidRDefault="004864A0">
      <w:pPr>
        <w:pStyle w:val="Standard"/>
        <w:rPr>
          <w:u w:val="single"/>
        </w:rPr>
      </w:pPr>
      <w:r>
        <w:rPr>
          <w:u w:val="single"/>
        </w:rPr>
        <w:t>Bilješka uz AOP 141 – Potraživanja za prihode poslovanja</w:t>
      </w:r>
    </w:p>
    <w:p w14:paraId="61276C5B" w14:textId="77777777" w:rsidR="00DD2EFB" w:rsidRDefault="00DD2EFB">
      <w:pPr>
        <w:pStyle w:val="Standard"/>
      </w:pPr>
    </w:p>
    <w:p w14:paraId="4074D658" w14:textId="13AD23DE" w:rsidR="00DD2EFB" w:rsidRDefault="004864A0">
      <w:pPr>
        <w:pStyle w:val="Standard"/>
        <w:rPr>
          <w:u w:val="single"/>
        </w:rPr>
      </w:pPr>
      <w:r>
        <w:rPr>
          <w:u w:val="single"/>
        </w:rPr>
        <w:t>Popis sudskih sporova u tijeku (AOP 1</w:t>
      </w:r>
      <w:r w:rsidR="002B3BB6">
        <w:rPr>
          <w:u w:val="single"/>
        </w:rPr>
        <w:t>57</w:t>
      </w:r>
      <w:r>
        <w:rPr>
          <w:u w:val="single"/>
        </w:rPr>
        <w:t xml:space="preserve"> )</w:t>
      </w:r>
    </w:p>
    <w:p w14:paraId="5D4FCE66" w14:textId="77777777" w:rsidR="00DD2EFB" w:rsidRDefault="00DD2EFB">
      <w:pPr>
        <w:pStyle w:val="Standard"/>
      </w:pPr>
    </w:p>
    <w:tbl>
      <w:tblPr>
        <w:tblW w:w="10231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418"/>
        <w:gridCol w:w="2300"/>
        <w:gridCol w:w="1447"/>
        <w:gridCol w:w="1447"/>
        <w:gridCol w:w="1447"/>
        <w:gridCol w:w="1485"/>
      </w:tblGrid>
      <w:tr w:rsidR="00DD2EFB" w14:paraId="026B7A25" w14:textId="77777777"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167D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A7C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Tuženik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6C7E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Tužitelj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C02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Sažeti opis prirode spora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F36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glavnice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E022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Procijenjeno vrijeme priljeva sredstava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3BC9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Početak sudskog spora</w:t>
            </w:r>
          </w:p>
        </w:tc>
      </w:tr>
      <w:tr w:rsidR="00217109" w14:paraId="3B55472D" w14:textId="77777777"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2731C" w14:textId="747BCFB3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710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6E0B8" w14:textId="0A339A50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341-05/16-01/09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F418" w14:textId="777D2B72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Agencija za sigurnost željezničkog prometa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234B" w14:textId="1B9133EF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Utvrđena je prisutnost alkohola na radnom mjestu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E7A3" w14:textId="2D2D74B8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 kn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2791" w14:textId="2B1D367B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2020.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A6DD" w14:textId="5779CF1E" w:rsidR="00217109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09.06.2016.</w:t>
            </w:r>
          </w:p>
        </w:tc>
      </w:tr>
      <w:tr w:rsidR="00DD2EFB" w14:paraId="77F8C014" w14:textId="77777777"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9951C" w14:textId="5DBA7EC3" w:rsidR="00DD2EFB" w:rsidRDefault="0021710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64A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51CD" w14:textId="73C16FD6" w:rsidR="00DD2EFB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341-05/16-01/08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1557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Agencija za sigurnost željezničkog prometa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8BC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Utvrđena je prisutnost alkohola na radnom mjestu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8E6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 kn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3DAA" w14:textId="77777777" w:rsidR="00DD2EFB" w:rsidRDefault="004864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2020.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95B2" w14:textId="0CEB706C" w:rsidR="00DD2EFB" w:rsidRDefault="009970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17.06.2016.</w:t>
            </w:r>
          </w:p>
        </w:tc>
      </w:tr>
    </w:tbl>
    <w:p w14:paraId="5D733829" w14:textId="77777777" w:rsidR="00E051D5" w:rsidRDefault="00E051D5">
      <w:pPr>
        <w:pStyle w:val="Standard"/>
        <w:rPr>
          <w:u w:val="single"/>
        </w:rPr>
      </w:pPr>
    </w:p>
    <w:p w14:paraId="3844F303" w14:textId="77777777" w:rsidR="00E07FA4" w:rsidRDefault="00E07FA4">
      <w:pPr>
        <w:pStyle w:val="Standard"/>
        <w:rPr>
          <w:u w:val="single"/>
        </w:rPr>
      </w:pPr>
    </w:p>
    <w:p w14:paraId="4BF09675" w14:textId="77777777" w:rsidR="00E07FA4" w:rsidRDefault="00E07FA4">
      <w:pPr>
        <w:pStyle w:val="Standard"/>
        <w:rPr>
          <w:u w:val="single"/>
        </w:rPr>
      </w:pPr>
    </w:p>
    <w:p w14:paraId="3B85700C" w14:textId="482B9B46" w:rsidR="00DD2EFB" w:rsidRDefault="00A20ED0">
      <w:pPr>
        <w:pStyle w:val="Standard"/>
        <w:rPr>
          <w:u w:val="single"/>
        </w:rPr>
      </w:pPr>
      <w:r>
        <w:rPr>
          <w:u w:val="single"/>
        </w:rPr>
        <w:t>Popis završenih sudskih sporova (AOP 157)</w:t>
      </w:r>
    </w:p>
    <w:p w14:paraId="3992AB36" w14:textId="4ABF07D7" w:rsidR="00A20ED0" w:rsidRDefault="00A20ED0">
      <w:pPr>
        <w:pStyle w:val="Standard"/>
        <w:rPr>
          <w:u w:val="single"/>
        </w:rPr>
      </w:pPr>
    </w:p>
    <w:tbl>
      <w:tblPr>
        <w:tblW w:w="10231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945"/>
        <w:gridCol w:w="1773"/>
        <w:gridCol w:w="1447"/>
        <w:gridCol w:w="1447"/>
        <w:gridCol w:w="1447"/>
        <w:gridCol w:w="1485"/>
      </w:tblGrid>
      <w:tr w:rsidR="00A20ED0" w14:paraId="0653F72A" w14:textId="77777777" w:rsidTr="00A20ED0"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58B7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3147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Tuženik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77F7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Tužitelj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0C47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Sažeti opis prirode spora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FFEC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glavnice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CB97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Procijenjeno vrijeme priljeva sredstava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24F0" w14:textId="0896BCCF" w:rsidR="00A20ED0" w:rsidRDefault="001C7B71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Završetak</w:t>
            </w:r>
            <w:r w:rsidR="00A20ED0">
              <w:rPr>
                <w:sz w:val="18"/>
                <w:szCs w:val="18"/>
              </w:rPr>
              <w:t xml:space="preserve"> sudskog spora</w:t>
            </w:r>
          </w:p>
        </w:tc>
      </w:tr>
      <w:tr w:rsidR="00A20ED0" w14:paraId="3F8D9FA4" w14:textId="77777777" w:rsidTr="00A20ED0"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AFEB" w14:textId="77777777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2A3E8" w14:textId="4147076E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Agencija za sigurnost željezničkog prometa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FDCF" w14:textId="322F41FA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Pr-1265/2016-51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B1DD" w14:textId="1B671FD5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Otkaz ugovora o radu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1F96" w14:textId="19EEC1BB" w:rsidR="00A20ED0" w:rsidRDefault="00A20ED0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18.657,91 kn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8F17" w14:textId="2D11BF90" w:rsidR="00A20ED0" w:rsidRDefault="005C1C98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prva polovica 2022. godine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37C6" w14:textId="4350E95C" w:rsidR="00A20ED0" w:rsidRDefault="001C7B71" w:rsidP="00DC292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25.11.2021.</w:t>
            </w:r>
          </w:p>
        </w:tc>
      </w:tr>
    </w:tbl>
    <w:p w14:paraId="1D9C990D" w14:textId="77777777" w:rsidR="00A20ED0" w:rsidRPr="00A20ED0" w:rsidRDefault="00A20ED0">
      <w:pPr>
        <w:pStyle w:val="Standard"/>
        <w:rPr>
          <w:u w:val="single"/>
        </w:rPr>
      </w:pPr>
    </w:p>
    <w:p w14:paraId="26D679F1" w14:textId="77777777" w:rsidR="00A20ED0" w:rsidRDefault="00A20ED0">
      <w:pPr>
        <w:pStyle w:val="Standard"/>
      </w:pPr>
    </w:p>
    <w:p w14:paraId="09284D10" w14:textId="4C54CB70" w:rsidR="00DD2EFB" w:rsidRDefault="004864A0">
      <w:pPr>
        <w:pStyle w:val="Standard"/>
      </w:pPr>
      <w:r>
        <w:t xml:space="preserve">Potraživanja za prihode poslovanja </w:t>
      </w:r>
      <w:r w:rsidR="00B3668E">
        <w:t xml:space="preserve">se </w:t>
      </w:r>
      <w:r>
        <w:t>odnose na potraživanja od izdanih prekršajnih naloga</w:t>
      </w:r>
      <w:r w:rsidR="00B3668E">
        <w:t xml:space="preserve"> u iznosu od 2.000,00 kn te potraživanja </w:t>
      </w:r>
      <w:r w:rsidR="003735A6">
        <w:t>od bivšeg zaposlenika po pravomoćnoj i ovršnoj presudi Općinskog radnog suda u iznosu od 18.657,91 kn</w:t>
      </w:r>
      <w:r>
        <w:t>.</w:t>
      </w:r>
    </w:p>
    <w:p w14:paraId="6A2103FA" w14:textId="77777777" w:rsidR="00DD2EFB" w:rsidRDefault="00DD2EFB">
      <w:pPr>
        <w:pStyle w:val="Standard"/>
      </w:pPr>
    </w:p>
    <w:p w14:paraId="7FEF53A1" w14:textId="7445A5D5" w:rsidR="00DD2EFB" w:rsidRDefault="004864A0">
      <w:pPr>
        <w:pStyle w:val="Standard"/>
      </w:pPr>
      <w:r>
        <w:t>Saldo 01.01.202</w:t>
      </w:r>
      <w:r w:rsidR="00062626">
        <w:t>1</w:t>
      </w:r>
      <w:r>
        <w:t xml:space="preserve">. je iznosio </w:t>
      </w:r>
      <w:r w:rsidR="00062626">
        <w:t>2.300</w:t>
      </w:r>
      <w:r>
        <w:t>,00 kn. Tijekom 202</w:t>
      </w:r>
      <w:r w:rsidR="00062626">
        <w:t>1</w:t>
      </w:r>
      <w:r>
        <w:t xml:space="preserve">. naplaćen je jedan sudski spor od </w:t>
      </w:r>
      <w:r w:rsidR="00062626">
        <w:t>300</w:t>
      </w:r>
      <w:r>
        <w:t>,00 kn</w:t>
      </w:r>
      <w:r w:rsidR="003735A6">
        <w:t>.</w:t>
      </w:r>
    </w:p>
    <w:p w14:paraId="2EF7C056" w14:textId="719A62B4" w:rsidR="002B3BB6" w:rsidRDefault="002B3BB6">
      <w:pPr>
        <w:pStyle w:val="Standard"/>
      </w:pPr>
    </w:p>
    <w:p w14:paraId="4AC98DD3" w14:textId="77777777" w:rsidR="002B3BB6" w:rsidRDefault="002B3BB6">
      <w:pPr>
        <w:pStyle w:val="Standard"/>
      </w:pPr>
    </w:p>
    <w:p w14:paraId="5E5026E2" w14:textId="6A76BD4B" w:rsidR="003735A6" w:rsidRDefault="002B3BB6">
      <w:pPr>
        <w:pStyle w:val="Standard"/>
        <w:rPr>
          <w:u w:val="single"/>
        </w:rPr>
      </w:pPr>
      <w:r>
        <w:rPr>
          <w:u w:val="single"/>
        </w:rPr>
        <w:t xml:space="preserve">Bilješka uz AOP </w:t>
      </w:r>
      <w:r w:rsidR="0042229F">
        <w:rPr>
          <w:u w:val="single"/>
        </w:rPr>
        <w:t>166</w:t>
      </w:r>
      <w:r>
        <w:rPr>
          <w:u w:val="single"/>
        </w:rPr>
        <w:t xml:space="preserve"> – Rashodi budućih razdoblja</w:t>
      </w:r>
    </w:p>
    <w:p w14:paraId="27DC677C" w14:textId="4D7ADA8F" w:rsidR="002B3BB6" w:rsidRDefault="002B3BB6">
      <w:pPr>
        <w:pStyle w:val="Standard"/>
      </w:pPr>
    </w:p>
    <w:p w14:paraId="7D1F89F8" w14:textId="2B9CD501" w:rsidR="002B3BB6" w:rsidRPr="002B3BB6" w:rsidRDefault="00306826">
      <w:pPr>
        <w:pStyle w:val="Standard"/>
      </w:pPr>
      <w:r>
        <w:t xml:space="preserve">U prosincu 2021. godine nastale su obveze </w:t>
      </w:r>
      <w:r w:rsidR="00275546">
        <w:t xml:space="preserve">za </w:t>
      </w:r>
      <w:r w:rsidR="000E3F50">
        <w:t>rashode</w:t>
      </w:r>
      <w:r w:rsidR="00275546">
        <w:t xml:space="preserve"> koji se odnose na buduće razdoblje</w:t>
      </w:r>
      <w:r w:rsidR="000E3F50">
        <w:t xml:space="preserve"> u iznosu od 8.</w:t>
      </w:r>
      <w:r w:rsidR="0042229F">
        <w:t>746,40 kn</w:t>
      </w:r>
      <w:r w:rsidR="00275546">
        <w:t>.</w:t>
      </w:r>
      <w:r w:rsidR="0042229F">
        <w:t xml:space="preserve"> Rashodi se odnose na nabavu godišnjih karata za prijevoz zaposlenika.</w:t>
      </w:r>
    </w:p>
    <w:p w14:paraId="6241FD3A" w14:textId="77777777" w:rsidR="003735A6" w:rsidRDefault="003735A6">
      <w:pPr>
        <w:pStyle w:val="Standard"/>
      </w:pPr>
    </w:p>
    <w:bookmarkEnd w:id="0"/>
    <w:p w14:paraId="1B685063" w14:textId="77777777" w:rsidR="00DD2EFB" w:rsidRDefault="00DD2EFB">
      <w:pPr>
        <w:pStyle w:val="Standard"/>
      </w:pPr>
    </w:p>
    <w:p w14:paraId="0BE0940D" w14:textId="4C11A5BD" w:rsidR="00DD2EFB" w:rsidRDefault="004864A0">
      <w:pPr>
        <w:pStyle w:val="Standard"/>
        <w:rPr>
          <w:u w:val="single"/>
        </w:rPr>
      </w:pPr>
      <w:r>
        <w:rPr>
          <w:u w:val="single"/>
        </w:rPr>
        <w:t>Bilješka uz AOP 17</w:t>
      </w:r>
      <w:r w:rsidR="0042229F">
        <w:rPr>
          <w:u w:val="single"/>
        </w:rPr>
        <w:t>2</w:t>
      </w:r>
      <w:r>
        <w:rPr>
          <w:u w:val="single"/>
        </w:rPr>
        <w:t xml:space="preserve"> – Obveze za zaposlene</w:t>
      </w:r>
    </w:p>
    <w:p w14:paraId="419C5F09" w14:textId="77777777" w:rsidR="00DD2EFB" w:rsidRDefault="00DD2EFB">
      <w:pPr>
        <w:pStyle w:val="Standard"/>
      </w:pPr>
    </w:p>
    <w:p w14:paraId="26F6AB78" w14:textId="2A858FDB" w:rsidR="00DD2EFB" w:rsidRDefault="004864A0">
      <w:pPr>
        <w:pStyle w:val="Standard"/>
      </w:pPr>
      <w:r>
        <w:t>Usporedno sa 20</w:t>
      </w:r>
      <w:r w:rsidR="0042229F">
        <w:t>20</w:t>
      </w:r>
      <w:r>
        <w:t>. godinom iznosi obveza za zaposlene (plaće) u 202</w:t>
      </w:r>
      <w:r w:rsidR="0042229F">
        <w:t>1</w:t>
      </w:r>
      <w:r>
        <w:t>. godini variraju kao što variraju iznosi obračuna plaća za svako pojedinačno razdoblje (mjesec).</w:t>
      </w:r>
    </w:p>
    <w:p w14:paraId="601CF435" w14:textId="77777777" w:rsidR="00DD2EFB" w:rsidRDefault="004864A0">
      <w:pPr>
        <w:pStyle w:val="Standard"/>
      </w:pPr>
      <w:r>
        <w:t xml:space="preserve">Ukupni iznosi mjesečnih obveza za plaće po pojedinim mjesecima nisu nikada isti. </w:t>
      </w:r>
    </w:p>
    <w:p w14:paraId="51D17862" w14:textId="77777777" w:rsidR="00DD2EFB" w:rsidRDefault="00DD2EFB">
      <w:pPr>
        <w:pStyle w:val="Standard"/>
      </w:pPr>
    </w:p>
    <w:p w14:paraId="6C042D5A" w14:textId="77777777" w:rsidR="00DD2EFB" w:rsidRDefault="00DD2EFB">
      <w:pPr>
        <w:pStyle w:val="Standard"/>
      </w:pPr>
    </w:p>
    <w:p w14:paraId="774CC928" w14:textId="70464392" w:rsidR="00DD2EFB" w:rsidRDefault="004864A0">
      <w:pPr>
        <w:pStyle w:val="Standard"/>
        <w:rPr>
          <w:u w:val="single"/>
        </w:rPr>
      </w:pPr>
      <w:r>
        <w:rPr>
          <w:u w:val="single"/>
        </w:rPr>
        <w:t>Bilješka uz AOP 17</w:t>
      </w:r>
      <w:r w:rsidR="0042229F">
        <w:rPr>
          <w:u w:val="single"/>
        </w:rPr>
        <w:t>3</w:t>
      </w:r>
      <w:r>
        <w:rPr>
          <w:u w:val="single"/>
        </w:rPr>
        <w:t xml:space="preserve"> – Obveze za materijalne rashode</w:t>
      </w:r>
    </w:p>
    <w:p w14:paraId="57CE0049" w14:textId="77777777" w:rsidR="00DD2EFB" w:rsidRDefault="00DD2EFB">
      <w:pPr>
        <w:pStyle w:val="Standard"/>
      </w:pPr>
    </w:p>
    <w:p w14:paraId="14EDDAFF" w14:textId="6407DA9C" w:rsidR="00DD2EFB" w:rsidRDefault="004864A0">
      <w:pPr>
        <w:pStyle w:val="Standard"/>
      </w:pPr>
      <w:r>
        <w:t>Obveze za ostale materijalne rashode 202</w:t>
      </w:r>
      <w:r w:rsidR="0042229F">
        <w:t>1</w:t>
      </w:r>
      <w:r>
        <w:t>. godine u usporedbi sa 20</w:t>
      </w:r>
      <w:r w:rsidR="0042229F">
        <w:t>20</w:t>
      </w:r>
      <w:r>
        <w:t xml:space="preserve">. variraju u iznosu od </w:t>
      </w:r>
      <w:r w:rsidR="00027E9E">
        <w:t>13.348,03</w:t>
      </w:r>
      <w:r>
        <w:t xml:space="preserve"> kn, a odnose se na povećanje </w:t>
      </w:r>
      <w:r w:rsidR="00027E9E">
        <w:t>naknade za članove upravnog vijeća, ostalih intelektualnih</w:t>
      </w:r>
      <w:r>
        <w:t xml:space="preserve"> usluga te troškova </w:t>
      </w:r>
      <w:r w:rsidR="00027E9E">
        <w:t>naknad</w:t>
      </w:r>
      <w:r w:rsidR="007E4C3B">
        <w:t>a</w:t>
      </w:r>
      <w:r w:rsidR="00027E9E">
        <w:t xml:space="preserve"> za prijevoz.</w:t>
      </w:r>
    </w:p>
    <w:p w14:paraId="1C5A81F1" w14:textId="5737CA46" w:rsidR="006D45DC" w:rsidRDefault="006D45DC">
      <w:pPr>
        <w:pStyle w:val="Standard"/>
      </w:pPr>
    </w:p>
    <w:p w14:paraId="4BF24C26" w14:textId="267266EE" w:rsidR="006D45DC" w:rsidRDefault="006D45DC" w:rsidP="006D45DC">
      <w:pPr>
        <w:pStyle w:val="Standard"/>
        <w:rPr>
          <w:u w:val="single"/>
        </w:rPr>
      </w:pPr>
      <w:r>
        <w:rPr>
          <w:u w:val="single"/>
        </w:rPr>
        <w:t>Bilješka uz AOP 177 – Obveze za ostale financijske rashode</w:t>
      </w:r>
    </w:p>
    <w:p w14:paraId="0DE3712F" w14:textId="6979DECE" w:rsidR="006D45DC" w:rsidRDefault="006D45DC" w:rsidP="006D45DC">
      <w:pPr>
        <w:pStyle w:val="Standard"/>
        <w:rPr>
          <w:u w:val="single"/>
        </w:rPr>
      </w:pPr>
    </w:p>
    <w:p w14:paraId="7B471835" w14:textId="77777777" w:rsidR="006D45DC" w:rsidRDefault="006D45DC" w:rsidP="006D45DC">
      <w:pPr>
        <w:pStyle w:val="Standard"/>
      </w:pPr>
      <w:r>
        <w:t>Obveze za ostale financijske rashode se odnose na obveze za zatezne kamate te iznose 0,82 kn.</w:t>
      </w:r>
    </w:p>
    <w:p w14:paraId="3AE1D815" w14:textId="77777777" w:rsidR="006D45DC" w:rsidRDefault="006D45DC" w:rsidP="006D45DC">
      <w:pPr>
        <w:pStyle w:val="Standard"/>
      </w:pPr>
    </w:p>
    <w:p w14:paraId="052B6FAE" w14:textId="7461DCDE" w:rsidR="006D45DC" w:rsidRDefault="006D45DC" w:rsidP="006D45DC">
      <w:pPr>
        <w:pStyle w:val="Standard"/>
        <w:rPr>
          <w:u w:val="single"/>
        </w:rPr>
      </w:pPr>
      <w:r>
        <w:rPr>
          <w:u w:val="single"/>
        </w:rPr>
        <w:t>Bilješka uz AOP 182 – Ostale tekuće obveze</w:t>
      </w:r>
    </w:p>
    <w:p w14:paraId="6963181F" w14:textId="19A1579F" w:rsidR="006D45DC" w:rsidRDefault="006D45DC" w:rsidP="006D45DC">
      <w:pPr>
        <w:pStyle w:val="Standard"/>
        <w:rPr>
          <w:u w:val="single"/>
        </w:rPr>
      </w:pPr>
    </w:p>
    <w:p w14:paraId="5DAB39FD" w14:textId="6B9F1773" w:rsidR="006D45DC" w:rsidRPr="006D45DC" w:rsidRDefault="006D45DC" w:rsidP="006D45DC">
      <w:pPr>
        <w:pStyle w:val="Standard"/>
      </w:pPr>
      <w:r>
        <w:t>Ostale tekuće obveze odnose se na obveze proračunskih korisnika za povrat u proračun</w:t>
      </w:r>
      <w:r w:rsidR="002A3188">
        <w:t xml:space="preserve"> u iznosu od 1</w:t>
      </w:r>
      <w:r w:rsidR="0049787E">
        <w:t>2.461,12</w:t>
      </w:r>
      <w:r w:rsidR="002A3188">
        <w:t xml:space="preserve"> kn</w:t>
      </w:r>
      <w:r>
        <w:t>.</w:t>
      </w:r>
      <w:r w:rsidR="002A3188">
        <w:t xml:space="preserve"> Navedene obveze proizašle su iz obračuna naknade za ozljedu na radu koja je od prvog dana na teret Hrvatskog zavoda za zdravstveno osiguranje kao neoporezivi primitak.   </w:t>
      </w:r>
      <w:r>
        <w:t xml:space="preserve"> </w:t>
      </w:r>
    </w:p>
    <w:p w14:paraId="036570A9" w14:textId="71789B11" w:rsidR="006D45DC" w:rsidRPr="006D45DC" w:rsidRDefault="006D45DC" w:rsidP="006D45DC">
      <w:pPr>
        <w:pStyle w:val="Standard"/>
      </w:pPr>
      <w:r>
        <w:t xml:space="preserve"> </w:t>
      </w:r>
    </w:p>
    <w:p w14:paraId="1257C376" w14:textId="77777777" w:rsidR="006D45DC" w:rsidRDefault="006D45DC">
      <w:pPr>
        <w:pStyle w:val="Standard"/>
      </w:pPr>
    </w:p>
    <w:p w14:paraId="03F72063" w14:textId="0634AC53" w:rsidR="00DD2EFB" w:rsidRDefault="00DD2EFB">
      <w:pPr>
        <w:pStyle w:val="Standard"/>
      </w:pPr>
    </w:p>
    <w:p w14:paraId="2DC3A8B2" w14:textId="462B8583" w:rsidR="0000225B" w:rsidRDefault="0000225B">
      <w:pPr>
        <w:pStyle w:val="Standard"/>
      </w:pPr>
    </w:p>
    <w:p w14:paraId="0EADCC0F" w14:textId="3C7A0A48" w:rsidR="0000225B" w:rsidRDefault="0000225B">
      <w:pPr>
        <w:pStyle w:val="Standard"/>
      </w:pPr>
    </w:p>
    <w:p w14:paraId="30E933CA" w14:textId="7D7498BB" w:rsidR="0000225B" w:rsidRDefault="0000225B">
      <w:pPr>
        <w:pStyle w:val="Standard"/>
      </w:pPr>
    </w:p>
    <w:p w14:paraId="7D1441A7" w14:textId="0D27B076" w:rsidR="0000225B" w:rsidRDefault="0000225B">
      <w:pPr>
        <w:pStyle w:val="Standard"/>
      </w:pPr>
    </w:p>
    <w:p w14:paraId="46A95E08" w14:textId="6A893777" w:rsidR="0000225B" w:rsidRDefault="0000225B">
      <w:pPr>
        <w:pStyle w:val="Standard"/>
      </w:pPr>
    </w:p>
    <w:p w14:paraId="2D21B2EA" w14:textId="00D976F4" w:rsidR="0000225B" w:rsidRDefault="0000225B">
      <w:pPr>
        <w:pStyle w:val="Standard"/>
      </w:pPr>
    </w:p>
    <w:p w14:paraId="31B52E1B" w14:textId="0EB695E2" w:rsidR="0000225B" w:rsidRDefault="0000225B">
      <w:pPr>
        <w:pStyle w:val="Standard"/>
      </w:pPr>
    </w:p>
    <w:p w14:paraId="0DA0B671" w14:textId="77777777" w:rsidR="0000225B" w:rsidRDefault="0000225B">
      <w:pPr>
        <w:pStyle w:val="Standard"/>
      </w:pPr>
    </w:p>
    <w:p w14:paraId="3AA22ED6" w14:textId="094A2936" w:rsidR="00DD2EFB" w:rsidRDefault="004864A0">
      <w:pPr>
        <w:pStyle w:val="Standard"/>
      </w:pPr>
      <w:r>
        <w:t xml:space="preserve">Popis sudskih sporova u tijeku – </w:t>
      </w:r>
      <w:proofErr w:type="spellStart"/>
      <w:r>
        <w:t>izvanbilančni</w:t>
      </w:r>
      <w:proofErr w:type="spellEnd"/>
      <w:r>
        <w:t xml:space="preserve"> zapis (AOP 25</w:t>
      </w:r>
      <w:r w:rsidR="00D5114A">
        <w:t>4</w:t>
      </w:r>
      <w:r>
        <w:t>)</w:t>
      </w:r>
    </w:p>
    <w:p w14:paraId="3BDC4BBA" w14:textId="77777777" w:rsidR="00DD2EFB" w:rsidRDefault="00DD2EFB">
      <w:pPr>
        <w:pStyle w:val="Standard"/>
      </w:pPr>
    </w:p>
    <w:tbl>
      <w:tblPr>
        <w:tblW w:w="9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1270"/>
        <w:gridCol w:w="872"/>
        <w:gridCol w:w="1041"/>
        <w:gridCol w:w="1407"/>
        <w:gridCol w:w="840"/>
        <w:gridCol w:w="1578"/>
        <w:gridCol w:w="2058"/>
      </w:tblGrid>
      <w:tr w:rsidR="00217109" w14:paraId="446CCC08" w14:textId="77777777" w:rsidTr="009206CE">
        <w:trPr>
          <w:trHeight w:val="285"/>
        </w:trPr>
        <w:tc>
          <w:tcPr>
            <w:tcW w:w="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89C5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EC82" w14:textId="77777777" w:rsidR="00217109" w:rsidRDefault="00217109" w:rsidP="00C30C3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EB3D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428E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E852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B8E78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7506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427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17109" w14:paraId="70397310" w14:textId="77777777" w:rsidTr="009206CE">
        <w:trPr>
          <w:trHeight w:val="840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C26CD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RB.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CCAE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TUŽENIK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8C2F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BROJ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PREDMETA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EE60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SUD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82D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PRAVNA OSNOVA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4639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V.P.S.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B853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NAPOMENA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03CC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PROCIJENJENA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DULJINA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TRAJANJA SPORA</w:t>
            </w:r>
          </w:p>
        </w:tc>
      </w:tr>
      <w:tr w:rsidR="00217109" w14:paraId="75CD3350" w14:textId="77777777" w:rsidTr="009206CE">
        <w:trPr>
          <w:trHeight w:val="1110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7CBE" w14:textId="16A35CAE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F7F99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6DCA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Pr-2218/16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AC776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AB78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Otkaz ugovora o radu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FDE0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2.500,00 kn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47B4" w14:textId="77777777" w:rsidR="00217109" w:rsidRDefault="0021710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Prvostupanjski postupak okončan u korist tuženika ASŽ, tužitelj izjavio žalbu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8940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6D51819F" w14:textId="77777777" w:rsidTr="009206CE">
        <w:trPr>
          <w:trHeight w:val="1110"/>
        </w:trPr>
        <w:tc>
          <w:tcPr>
            <w:tcW w:w="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686D0" w14:textId="336E5633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2.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8A6B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690F6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Pr-8428/20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1226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FB0C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 i koeficijenta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BA86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14.700,00 kn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853E" w14:textId="77777777" w:rsidR="00217109" w:rsidRDefault="0021710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634D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10B058E9" w14:textId="77777777" w:rsidTr="009206CE">
        <w:trPr>
          <w:trHeight w:val="1110"/>
        </w:trPr>
        <w:tc>
          <w:tcPr>
            <w:tcW w:w="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AC51" w14:textId="7CE77940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3.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1488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BA9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Pr-8476-20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210C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911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80C7E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11.000,00 kn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3D61" w14:textId="77777777" w:rsidR="00217109" w:rsidRDefault="0021710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729A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249ED1A8" w14:textId="77777777" w:rsidTr="009206CE">
        <w:trPr>
          <w:trHeight w:val="1110"/>
        </w:trPr>
        <w:tc>
          <w:tcPr>
            <w:tcW w:w="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FA9C0" w14:textId="06F03100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4.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AD91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D8B0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Pr-8478-20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5A57E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862C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370C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10.400,00 kn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CB3B" w14:textId="77777777" w:rsidR="00217109" w:rsidRDefault="0021710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8AA7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45F360F3" w14:textId="77777777" w:rsidTr="009206CE">
        <w:trPr>
          <w:trHeight w:val="1110"/>
        </w:trPr>
        <w:tc>
          <w:tcPr>
            <w:tcW w:w="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DDB37" w14:textId="252BCFDA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5.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9404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C23F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Pr-8482-20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D270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ED93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806E7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11.600,00 kn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B858" w14:textId="77777777" w:rsidR="00217109" w:rsidRDefault="0021710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5B527" w14:textId="77777777" w:rsidR="00217109" w:rsidRDefault="0021710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7E54AD7A" w14:textId="77777777" w:rsidTr="009206CE">
        <w:trPr>
          <w:trHeight w:val="1110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E360" w14:textId="5697FC26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6.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5597" w14:textId="6C17F63E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D820" w14:textId="5997C5BB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Pr-8481/20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C4075" w14:textId="2E89835B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9381" w14:textId="6C810D8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4B540" w14:textId="2DF0DB38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10.200,00 kn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159E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1F2C" w14:textId="0C16D1D5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prvoj polovini 2022.</w:t>
            </w:r>
          </w:p>
        </w:tc>
      </w:tr>
      <w:tr w:rsidR="00217109" w14:paraId="118C83C9" w14:textId="77777777" w:rsidTr="009206CE">
        <w:trPr>
          <w:trHeight w:val="1110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797A" w14:textId="15F25E2A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7.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BE4E1" w14:textId="6AC8A09B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7FA4" w14:textId="4E69D3C1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Pr-8468/20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97FD" w14:textId="0572172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7D7A" w14:textId="3E130DD2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B6D9" w14:textId="08A79C9D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12.690,92 kn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4A52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FB11" w14:textId="2A264643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drugoj polovini 2022.</w:t>
            </w:r>
          </w:p>
        </w:tc>
      </w:tr>
      <w:tr w:rsidR="00217109" w14:paraId="4654C8D4" w14:textId="77777777" w:rsidTr="009206CE">
        <w:trPr>
          <w:trHeight w:val="1110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2491" w14:textId="120D1419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8.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89C6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Agencija za sigurnost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željezničkog prometa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967" w14:textId="6E11B671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Pr-8463/20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FE38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Općinski radni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sud u Zagrebu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872E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Neisplata dijela plaće - spor oko visine osnovice za izračun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2CB93" w14:textId="508333A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9.504,90 kn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9466" w14:textId="77777777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210A0" w14:textId="4B6B971C" w:rsidR="00217109" w:rsidRDefault="00217109" w:rsidP="002755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 xml:space="preserve">Pravomoćno okončanje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br/>
              <w:t>spora očekuje se u drugoj polovini 2022.</w:t>
            </w:r>
          </w:p>
        </w:tc>
      </w:tr>
    </w:tbl>
    <w:p w14:paraId="3DA94CD9" w14:textId="77777777" w:rsidR="00DD2EFB" w:rsidRDefault="00DD2EFB">
      <w:pPr>
        <w:pStyle w:val="Standard"/>
      </w:pPr>
    </w:p>
    <w:p w14:paraId="22F606E3" w14:textId="0EBE153D" w:rsidR="00DD2EFB" w:rsidRDefault="004864A0">
      <w:pPr>
        <w:pStyle w:val="Standard"/>
      </w:pPr>
      <w:r>
        <w:t xml:space="preserve">Napomena: Obzirom da postupci nisu pravomoćno okončani, tj. da </w:t>
      </w:r>
      <w:proofErr w:type="spellStart"/>
      <w:r>
        <w:t>protustranke</w:t>
      </w:r>
      <w:proofErr w:type="spellEnd"/>
      <w:r>
        <w:t xml:space="preserve"> ne posjeduju pravomoćnu i ovršnu sudsku presudu ne postoji niti obveza isplate novčanog iznosa (stanje 31.12.202</w:t>
      </w:r>
      <w:r w:rsidR="00E9273F">
        <w:t>1</w:t>
      </w:r>
      <w:r>
        <w:t>.).</w:t>
      </w:r>
    </w:p>
    <w:p w14:paraId="5372F513" w14:textId="77777777" w:rsidR="00DD2EFB" w:rsidRDefault="00DD2EFB">
      <w:pPr>
        <w:pStyle w:val="Standard"/>
      </w:pPr>
    </w:p>
    <w:p w14:paraId="7C30C618" w14:textId="77777777" w:rsidR="00DD2EFB" w:rsidRDefault="00DD2EFB">
      <w:pPr>
        <w:pStyle w:val="Standard"/>
      </w:pPr>
    </w:p>
    <w:p w14:paraId="047A2B8D" w14:textId="77777777" w:rsidR="005E4077" w:rsidRDefault="004864A0">
      <w:pPr>
        <w:pStyle w:val="Standard"/>
      </w:pPr>
      <w:r>
        <w:t>Tijekom 202</w:t>
      </w:r>
      <w:r w:rsidR="00E9273F">
        <w:t>1</w:t>
      </w:r>
      <w:r>
        <w:t xml:space="preserve">. godine </w:t>
      </w:r>
      <w:r w:rsidR="00BB5568">
        <w:t xml:space="preserve">smanjile su se potencijalne obveze po osnovi sudskih sporova za 75.700,00 kn po predmetu 1265/16, a na temelju </w:t>
      </w:r>
      <w:r w:rsidR="005E4077">
        <w:t xml:space="preserve">konačne pravomoćne presude u korist tuženika. </w:t>
      </w:r>
    </w:p>
    <w:p w14:paraId="6643A2FC" w14:textId="77777777" w:rsidR="005E4077" w:rsidRDefault="005E4077">
      <w:pPr>
        <w:pStyle w:val="Standard"/>
      </w:pPr>
      <w:r>
        <w:t xml:space="preserve">Tijekom 2021. godine </w:t>
      </w:r>
      <w:r w:rsidR="004864A0">
        <w:t>povećale su se potencijalne obveze po osnovi sudskih sporova</w:t>
      </w:r>
      <w:r>
        <w:t xml:space="preserve"> za 22.195,82 kn.</w:t>
      </w:r>
    </w:p>
    <w:p w14:paraId="762C9202" w14:textId="154850F6" w:rsidR="00DD2EFB" w:rsidRDefault="005E4077">
      <w:pPr>
        <w:pStyle w:val="Standard"/>
      </w:pPr>
      <w:r>
        <w:t xml:space="preserve">Sporovi </w:t>
      </w:r>
      <w:r w:rsidR="004864A0">
        <w:t xml:space="preserve">se odnose na potraživanje od strane zaposlenika prema Agenciji te su isti u tijeku. </w:t>
      </w:r>
    </w:p>
    <w:p w14:paraId="26EA4A58" w14:textId="77777777" w:rsidR="00DD2EFB" w:rsidRDefault="00DD2EFB">
      <w:pPr>
        <w:pStyle w:val="Standard"/>
      </w:pPr>
    </w:p>
    <w:p w14:paraId="57E94B4E" w14:textId="77777777" w:rsidR="00C30C3C" w:rsidRDefault="00C30C3C">
      <w:pPr>
        <w:pStyle w:val="Standard"/>
      </w:pPr>
    </w:p>
    <w:p w14:paraId="4A3B8218" w14:textId="2BFAD431" w:rsidR="00712946" w:rsidRDefault="004864A0">
      <w:pPr>
        <w:pStyle w:val="Standard"/>
      </w:pPr>
      <w:r>
        <w:t>Stanje blagajne sa 31.12.202</w:t>
      </w:r>
      <w:r w:rsidR="00E9273F">
        <w:t>1</w:t>
      </w:r>
      <w:r>
        <w:t>. iznosi 0,00 kn</w:t>
      </w:r>
      <w:r w:rsidR="009A7208">
        <w:t>.</w:t>
      </w:r>
    </w:p>
    <w:p w14:paraId="50AB2202" w14:textId="77777777" w:rsidR="00C30C3C" w:rsidRDefault="00C30C3C">
      <w:pPr>
        <w:pStyle w:val="Standard"/>
      </w:pPr>
    </w:p>
    <w:p w14:paraId="3F06A613" w14:textId="77777777" w:rsidR="00DD2EFB" w:rsidRDefault="00DD2EFB">
      <w:pPr>
        <w:pStyle w:val="Standard"/>
      </w:pPr>
    </w:p>
    <w:p w14:paraId="7D1E0336" w14:textId="71271922" w:rsidR="00DD2EFB" w:rsidRDefault="004864A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uz izvještaj o prihodima i rashodima, primicima i izdacima – Obrazac PR-RAS</w:t>
      </w:r>
    </w:p>
    <w:p w14:paraId="03FC3041" w14:textId="7CD3EDAC" w:rsidR="009E79FB" w:rsidRDefault="009E79FB" w:rsidP="009E79FB">
      <w:pPr>
        <w:pStyle w:val="Standard"/>
        <w:rPr>
          <w:b/>
          <w:bCs/>
        </w:rPr>
      </w:pPr>
    </w:p>
    <w:p w14:paraId="1B397C2E" w14:textId="4ADCFFF7" w:rsidR="009E79FB" w:rsidRDefault="009E79FB" w:rsidP="009E79FB">
      <w:pPr>
        <w:pStyle w:val="Standard"/>
        <w:rPr>
          <w:u w:val="single"/>
        </w:rPr>
      </w:pPr>
      <w:r>
        <w:rPr>
          <w:u w:val="single"/>
        </w:rPr>
        <w:t>AOP 070 – Tekuće pomoći temeljem prijenosa EU sredstava</w:t>
      </w:r>
    </w:p>
    <w:p w14:paraId="1B548106" w14:textId="13E671F0" w:rsidR="00D5453A" w:rsidRDefault="00D5453A" w:rsidP="009E79FB">
      <w:pPr>
        <w:pStyle w:val="Standard"/>
        <w:rPr>
          <w:u w:val="single"/>
        </w:rPr>
      </w:pPr>
    </w:p>
    <w:p w14:paraId="6A7D52C0" w14:textId="77777777" w:rsidR="00D5453A" w:rsidRDefault="00D5453A" w:rsidP="00D5453A">
      <w:pPr>
        <w:pStyle w:val="Standard"/>
        <w:jc w:val="both"/>
      </w:pPr>
      <w:r w:rsidRPr="006C1087">
        <w:t xml:space="preserve">Agencija je temeljem članka 8. stavka 6. Zakona o sigurnosti i interoperabilnosti željezničkog sustava (NN 63/20) sklopila Sporazum o suradnji prema članku 76. stavka 1. Uredbe (EU) 2016/796 s Agencijom Europske unije za željeznice temeljem kojeg obavlja poslove u vezi sa jedinstvenim potvrdama o sigurnosti, odobrenjima za vozila i odobrenjima tipa vozila </w:t>
      </w:r>
      <w:r>
        <w:t>temeljem</w:t>
      </w:r>
      <w:r w:rsidRPr="006C1087">
        <w:t xml:space="preserve"> čega </w:t>
      </w:r>
      <w:r>
        <w:t>ostvaruje</w:t>
      </w:r>
      <w:r w:rsidRPr="006C1087">
        <w:t xml:space="preserve"> refundacije troškova rada zaposlenika</w:t>
      </w:r>
      <w:r>
        <w:t xml:space="preserve"> po satu</w:t>
      </w:r>
      <w:r w:rsidRPr="006C1087">
        <w:t xml:space="preserve">, vezanih troškova službenih putovanja i korištenja privatnog automobila u službene svrhe. </w:t>
      </w:r>
    </w:p>
    <w:p w14:paraId="64DC805E" w14:textId="309E9792" w:rsidR="00D5453A" w:rsidRPr="006C1087" w:rsidRDefault="00D5453A" w:rsidP="00D5453A">
      <w:pPr>
        <w:pStyle w:val="Standard"/>
      </w:pPr>
      <w:r>
        <w:t>Tijekom izvještajnog razdoblja ostvarene su refundacije za rad zaposlenika u iznosu od 311.527,76 kn.</w:t>
      </w:r>
    </w:p>
    <w:p w14:paraId="1239FADC" w14:textId="77777777" w:rsidR="009E79FB" w:rsidRDefault="009E79FB" w:rsidP="009E79FB">
      <w:pPr>
        <w:pStyle w:val="Standard"/>
        <w:rPr>
          <w:b/>
          <w:bCs/>
        </w:rPr>
      </w:pPr>
    </w:p>
    <w:p w14:paraId="167D81EA" w14:textId="77777777" w:rsidR="00DD2EFB" w:rsidRDefault="00DD2EFB">
      <w:pPr>
        <w:pStyle w:val="Standard"/>
      </w:pPr>
    </w:p>
    <w:p w14:paraId="67EDB6B0" w14:textId="67CF02C3" w:rsidR="00DD2EFB" w:rsidRDefault="004864A0">
      <w:r>
        <w:t>Tijekom 202</w:t>
      </w:r>
      <w:r w:rsidR="004A6987">
        <w:t>1</w:t>
      </w:r>
      <w:r>
        <w:t>. godine na žiro račun Agencije je uplaćeno 3.</w:t>
      </w:r>
      <w:r w:rsidR="004A6987">
        <w:t>994.280,65</w:t>
      </w:r>
      <w:r>
        <w:t xml:space="preserve"> kn od strane Državnog proračuna</w:t>
      </w:r>
    </w:p>
    <w:p w14:paraId="25865F1F" w14:textId="4778787E" w:rsidR="00DD2EFB" w:rsidRDefault="004864A0">
      <w:pPr>
        <w:pStyle w:val="Standard"/>
        <w:numPr>
          <w:ilvl w:val="4"/>
          <w:numId w:val="2"/>
        </w:numPr>
      </w:pPr>
      <w:r>
        <w:t>obrazac PR-RAS - AOP 6</w:t>
      </w:r>
      <w:r w:rsidR="005B0C19">
        <w:t>42</w:t>
      </w:r>
    </w:p>
    <w:p w14:paraId="2EFBF24B" w14:textId="77777777" w:rsidR="00DD2EFB" w:rsidRDefault="004864A0">
      <w:pPr>
        <w:pStyle w:val="Standard"/>
      </w:pPr>
      <w:r>
        <w:t xml:space="preserve"> </w:t>
      </w:r>
    </w:p>
    <w:p w14:paraId="769C1E5B" w14:textId="3FAA3615" w:rsidR="00DD2EFB" w:rsidRDefault="004864A0">
      <w:pPr>
        <w:pStyle w:val="Standard"/>
        <w:rPr>
          <w:b/>
          <w:bCs/>
        </w:rPr>
      </w:pPr>
      <w:r>
        <w:rPr>
          <w:b/>
          <w:bCs/>
        </w:rPr>
        <w:t>Tablica: Rashodi poslovanja Agencije za 202</w:t>
      </w:r>
      <w:r w:rsidR="005B0C19">
        <w:rPr>
          <w:b/>
          <w:bCs/>
        </w:rPr>
        <w:t>1</w:t>
      </w:r>
      <w:r>
        <w:rPr>
          <w:b/>
          <w:bCs/>
        </w:rPr>
        <w:t>.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790"/>
        <w:gridCol w:w="1679"/>
        <w:gridCol w:w="1680"/>
        <w:gridCol w:w="1681"/>
        <w:gridCol w:w="1683"/>
      </w:tblGrid>
      <w:tr w:rsidR="00DD2EFB" w14:paraId="6F4585F7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7B53" w14:textId="77777777" w:rsidR="00DD2EFB" w:rsidRDefault="004864A0">
            <w:pPr>
              <w:pStyle w:val="Standard"/>
            </w:pPr>
            <w:r>
              <w:t>Račun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F925" w14:textId="77777777" w:rsidR="00DD2EFB" w:rsidRDefault="004864A0">
            <w:pPr>
              <w:pStyle w:val="Standard"/>
            </w:pPr>
            <w:r>
              <w:t>Opis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9B0" w14:textId="77777777" w:rsidR="00DD2EFB" w:rsidRDefault="004864A0">
            <w:pPr>
              <w:pStyle w:val="Standard"/>
            </w:pPr>
            <w:r>
              <w:t>AOP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6616" w14:textId="6E0E60F3" w:rsidR="00DD2EFB" w:rsidRDefault="004864A0">
            <w:pPr>
              <w:pStyle w:val="Standard"/>
            </w:pPr>
            <w:r>
              <w:t>20</w:t>
            </w:r>
            <w:r w:rsidR="003222F0">
              <w:t>20</w:t>
            </w:r>
            <w: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28F7" w14:textId="77BBD301" w:rsidR="00DD2EFB" w:rsidRDefault="004864A0">
            <w:pPr>
              <w:pStyle w:val="Standard"/>
            </w:pPr>
            <w:r>
              <w:t>202</w:t>
            </w:r>
            <w:r w:rsidR="003222F0">
              <w:t>1</w:t>
            </w:r>
            <w: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6CD" w14:textId="77777777" w:rsidR="00DD2EFB" w:rsidRDefault="004864A0">
            <w:pPr>
              <w:pStyle w:val="Standard"/>
            </w:pPr>
            <w:r>
              <w:t>Indeks</w:t>
            </w:r>
          </w:p>
        </w:tc>
      </w:tr>
      <w:tr w:rsidR="00DD2EFB" w14:paraId="63572E0E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395C" w14:textId="77777777" w:rsidR="00DD2EFB" w:rsidRDefault="004864A0">
            <w:r>
              <w:t>3</w:t>
            </w:r>
          </w:p>
          <w:p w14:paraId="5072562A" w14:textId="77777777" w:rsidR="00DD2EFB" w:rsidRDefault="00DD2EF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57A2" w14:textId="77777777" w:rsidR="00DD2EFB" w:rsidRDefault="004864A0">
            <w:r>
              <w:t>RASHODI POSLOVANJA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BB8B" w14:textId="2880EA68" w:rsidR="00DD2EFB" w:rsidRDefault="004864A0">
            <w:r>
              <w:t>14</w:t>
            </w:r>
            <w:r w:rsidR="00B76DEE"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73B" w14:textId="6AAF18C2" w:rsidR="00DD2EFB" w:rsidRDefault="003222F0">
            <w:r>
              <w:t>4.728.244,55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C412" w14:textId="01B84DF7" w:rsidR="00DD2EFB" w:rsidRDefault="00213544">
            <w:r>
              <w:t>4.79</w:t>
            </w:r>
            <w:r w:rsidR="007470DC">
              <w:t>8.366,10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8DA6" w14:textId="17000AA2" w:rsidR="00DD2EFB" w:rsidRDefault="00213544">
            <w:r>
              <w:t>101,</w:t>
            </w:r>
            <w:r w:rsidR="0021528C">
              <w:t>5</w:t>
            </w:r>
            <w:r>
              <w:t>0</w:t>
            </w:r>
          </w:p>
          <w:p w14:paraId="373E1277" w14:textId="77777777" w:rsidR="00DD2EFB" w:rsidRDefault="00DD2EFB"/>
        </w:tc>
      </w:tr>
      <w:tr w:rsidR="00DD2EFB" w14:paraId="3BB41E30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AC39" w14:textId="77777777" w:rsidR="00DD2EFB" w:rsidRDefault="004864A0">
            <w:r>
              <w:t>31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D814" w14:textId="77777777" w:rsidR="00DD2EFB" w:rsidRDefault="004864A0">
            <w:r>
              <w:t>Rashodi za zaposlene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5B25" w14:textId="38DF011F" w:rsidR="00DD2EFB" w:rsidRDefault="004864A0">
            <w:r>
              <w:t>14</w:t>
            </w:r>
            <w:r w:rsidR="00B76DEE"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7926" w14:textId="18B0BBB3" w:rsidR="00DD2EFB" w:rsidRDefault="004864A0">
            <w:r>
              <w:t>3.</w:t>
            </w:r>
            <w:r w:rsidR="003222F0">
              <w:t>681.232,90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976C" w14:textId="61EDA590" w:rsidR="00DD2EFB" w:rsidRDefault="004864A0">
            <w:r>
              <w:t>3.</w:t>
            </w:r>
            <w:r w:rsidR="00213544">
              <w:t>70</w:t>
            </w:r>
            <w:r w:rsidR="00B60530">
              <w:t>4.197,28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E44D" w14:textId="5DF80411" w:rsidR="00DD2EFB" w:rsidRDefault="004864A0">
            <w:r>
              <w:t>10</w:t>
            </w:r>
            <w:r w:rsidR="00213544">
              <w:t>0</w:t>
            </w:r>
            <w:r>
              <w:t>,60</w:t>
            </w:r>
          </w:p>
        </w:tc>
      </w:tr>
      <w:tr w:rsidR="00DD2EFB" w14:paraId="4E00EDC5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E478" w14:textId="77777777" w:rsidR="00DD2EFB" w:rsidRDefault="004864A0">
            <w:r>
              <w:t>32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7895" w14:textId="77777777" w:rsidR="00DD2EFB" w:rsidRDefault="004864A0">
            <w:r>
              <w:t>Materijalni rashodi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D52" w14:textId="4588E02E" w:rsidR="00DD2EFB" w:rsidRDefault="004864A0">
            <w:r>
              <w:t>1</w:t>
            </w:r>
            <w:r w:rsidR="00B76DEE">
              <w:t>58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D750" w14:textId="1C5E1241" w:rsidR="00DD2EFB" w:rsidRDefault="004864A0">
            <w:r>
              <w:t>1.</w:t>
            </w:r>
            <w:r w:rsidR="00B76DEE">
              <w:t>047.009,83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FE92" w14:textId="5677AE1D" w:rsidR="00DD2EFB" w:rsidRDefault="004864A0">
            <w:r>
              <w:t>1.0</w:t>
            </w:r>
            <w:r w:rsidR="00213544">
              <w:t>72.665,12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C6BC" w14:textId="7812174F" w:rsidR="00DD2EFB" w:rsidRDefault="00213544">
            <w:r>
              <w:t>102,05</w:t>
            </w:r>
          </w:p>
        </w:tc>
      </w:tr>
      <w:tr w:rsidR="00DD2EFB" w14:paraId="54C10004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7663" w14:textId="77777777" w:rsidR="00DD2EFB" w:rsidRDefault="004864A0">
            <w:r>
              <w:t>34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62F3" w14:textId="77777777" w:rsidR="00DD2EFB" w:rsidRDefault="004864A0">
            <w:r>
              <w:t>Financijski rashodi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B37C" w14:textId="2805FA1E" w:rsidR="00DD2EFB" w:rsidRDefault="004864A0">
            <w:r>
              <w:t>19</w:t>
            </w:r>
            <w:r w:rsidR="00B76DEE"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6028" w14:textId="7E365867" w:rsidR="00DD2EFB" w:rsidRDefault="00B76DEE">
            <w:r>
              <w:t>1,82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BCA5" w14:textId="561ABE28" w:rsidR="00DD2EFB" w:rsidRDefault="00B76DEE">
            <w:r>
              <w:t>3,70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BED0" w14:textId="57EC7D6F" w:rsidR="00DD2EFB" w:rsidRDefault="00B76DEE">
            <w:r>
              <w:t>20</w:t>
            </w:r>
            <w:r w:rsidR="004864A0">
              <w:t>0,00</w:t>
            </w:r>
          </w:p>
          <w:p w14:paraId="6589063B" w14:textId="77777777" w:rsidR="00DD2EFB" w:rsidRDefault="00DD2EFB">
            <w:pPr>
              <w:pStyle w:val="Standard"/>
              <w:rPr>
                <w:shd w:val="clear" w:color="auto" w:fill="FFFF00"/>
              </w:rPr>
            </w:pPr>
          </w:p>
        </w:tc>
      </w:tr>
      <w:tr w:rsidR="00DD2EFB" w14:paraId="2E455C9E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7997" w14:textId="5C768C9C" w:rsidR="00DD2EFB" w:rsidRDefault="004864A0">
            <w:r>
              <w:t>3</w:t>
            </w:r>
            <w:r w:rsidR="00B76DEE"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4B0D" w14:textId="388517D9" w:rsidR="00B76DEE" w:rsidRPr="00B76DEE" w:rsidRDefault="00B76DEE">
            <w:pPr>
              <w:rPr>
                <w:sz w:val="20"/>
                <w:szCs w:val="20"/>
              </w:rPr>
            </w:pPr>
            <w:r w:rsidRPr="00B76DEE">
              <w:rPr>
                <w:sz w:val="20"/>
                <w:szCs w:val="20"/>
              </w:rPr>
              <w:t xml:space="preserve">Naknade </w:t>
            </w:r>
            <w:proofErr w:type="spellStart"/>
            <w:r w:rsidRPr="00B76DEE">
              <w:rPr>
                <w:sz w:val="20"/>
                <w:szCs w:val="20"/>
              </w:rPr>
              <w:t>građ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76DEE">
              <w:rPr>
                <w:sz w:val="20"/>
                <w:szCs w:val="20"/>
              </w:rPr>
              <w:t xml:space="preserve"> i kućanstvima na temelju osiguranja i druge naknade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3094" w14:textId="672073CB" w:rsidR="00DD2EFB" w:rsidRDefault="004864A0">
            <w:r>
              <w:t>2</w:t>
            </w:r>
            <w:r w:rsidR="00B76DEE">
              <w:t>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652C" w14:textId="1165C024" w:rsidR="00DD2EFB" w:rsidRDefault="00B76DEE">
            <w:r>
              <w:t>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26CC" w14:textId="0A529887" w:rsidR="00DD2EFB" w:rsidRDefault="00B76DEE">
            <w:r>
              <w:t>21.500,00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2378" w14:textId="77777777" w:rsidR="00DD2EFB" w:rsidRDefault="004864A0">
            <w:r>
              <w:t>0,00</w:t>
            </w:r>
          </w:p>
          <w:p w14:paraId="50B797BF" w14:textId="77777777" w:rsidR="00DD2EFB" w:rsidRDefault="00DD2EFB"/>
        </w:tc>
      </w:tr>
    </w:tbl>
    <w:p w14:paraId="1186D42C" w14:textId="77777777" w:rsidR="00DD2EFB" w:rsidRDefault="00DD2EFB"/>
    <w:p w14:paraId="7C864770" w14:textId="047E2AC6" w:rsidR="00DD2EFB" w:rsidRDefault="004864A0">
      <w:r w:rsidRPr="00BD65B4">
        <w:rPr>
          <w:u w:val="single"/>
        </w:rPr>
        <w:t>AOP (1</w:t>
      </w:r>
      <w:r w:rsidR="00AB565D" w:rsidRPr="00BD65B4">
        <w:rPr>
          <w:u w:val="single"/>
        </w:rPr>
        <w:t>48</w:t>
      </w:r>
      <w:r w:rsidRPr="00BD65B4">
        <w:rPr>
          <w:u w:val="single"/>
        </w:rPr>
        <w:t>) Plaće (bruto</w:t>
      </w:r>
      <w:r>
        <w:t xml:space="preserve">), ostvarene su </w:t>
      </w:r>
      <w:r w:rsidR="00AB565D">
        <w:t>0,1</w:t>
      </w:r>
      <w:r w:rsidR="00B60530">
        <w:t>8</w:t>
      </w:r>
      <w:r>
        <w:t>% više u odnosu na prošlu godinu</w:t>
      </w:r>
      <w:r w:rsidR="00AB565D">
        <w:t xml:space="preserve">. </w:t>
      </w:r>
    </w:p>
    <w:p w14:paraId="361E9D3F" w14:textId="77777777" w:rsidR="00E47DEC" w:rsidRDefault="00E47DEC"/>
    <w:p w14:paraId="466FA160" w14:textId="4F8340EB" w:rsidR="00DD2EFB" w:rsidRDefault="004864A0">
      <w:r w:rsidRPr="00BD65B4">
        <w:rPr>
          <w:u w:val="single"/>
        </w:rPr>
        <w:t>AOP (1</w:t>
      </w:r>
      <w:r w:rsidR="00AB565D" w:rsidRPr="00BD65B4">
        <w:rPr>
          <w:u w:val="single"/>
        </w:rPr>
        <w:t>53</w:t>
      </w:r>
      <w:r w:rsidRPr="00BD65B4">
        <w:rPr>
          <w:u w:val="single"/>
        </w:rPr>
        <w:t>) Ostali rashodi za zaposlene</w:t>
      </w:r>
      <w:r>
        <w:t xml:space="preserve">, ostvareni su </w:t>
      </w:r>
      <w:r w:rsidR="001B273F">
        <w:t>20,66</w:t>
      </w:r>
      <w:r>
        <w:t>% više u odnosu na 20</w:t>
      </w:r>
      <w:r w:rsidR="001B273F">
        <w:t>20</w:t>
      </w:r>
      <w:r>
        <w:t xml:space="preserve">., a rezultat su </w:t>
      </w:r>
      <w:r w:rsidR="001B273F">
        <w:t>isplate jubilarnih nagrada te otpremnina zaposlenicima</w:t>
      </w:r>
      <w:r>
        <w:t>.</w:t>
      </w:r>
    </w:p>
    <w:p w14:paraId="795E58B3" w14:textId="77777777" w:rsidR="00E47DEC" w:rsidRDefault="00E47DEC"/>
    <w:p w14:paraId="438ECC4C" w14:textId="76EA3EC2" w:rsidR="00DD2EFB" w:rsidRDefault="004864A0">
      <w:r w:rsidRPr="00BD65B4">
        <w:rPr>
          <w:u w:val="single"/>
        </w:rPr>
        <w:t>AOP (15</w:t>
      </w:r>
      <w:r w:rsidR="00AB565D" w:rsidRPr="00BD65B4">
        <w:rPr>
          <w:u w:val="single"/>
        </w:rPr>
        <w:t>4</w:t>
      </w:r>
      <w:r w:rsidRPr="00BD65B4">
        <w:rPr>
          <w:u w:val="single"/>
        </w:rPr>
        <w:t>) Doprinosi na plaće</w:t>
      </w:r>
      <w:r>
        <w:t xml:space="preserve">, ostvareni su </w:t>
      </w:r>
      <w:r w:rsidR="00246477">
        <w:t>0,</w:t>
      </w:r>
      <w:r w:rsidR="00B60530">
        <w:t>25</w:t>
      </w:r>
      <w:r>
        <w:t>% više nego 20</w:t>
      </w:r>
      <w:r w:rsidR="00246477">
        <w:t>20</w:t>
      </w:r>
      <w:r>
        <w:t>., a isplaćeni su sukladno važećim zakonskim propisima.</w:t>
      </w:r>
    </w:p>
    <w:p w14:paraId="7BA28B7C" w14:textId="77777777" w:rsidR="00E47DEC" w:rsidRDefault="00E47DEC"/>
    <w:p w14:paraId="58405314" w14:textId="25CE15AD" w:rsidR="00DD2EFB" w:rsidRDefault="004864A0">
      <w:r w:rsidRPr="00BD65B4">
        <w:rPr>
          <w:u w:val="single"/>
        </w:rPr>
        <w:t>AOP (1</w:t>
      </w:r>
      <w:r w:rsidR="0012512D" w:rsidRPr="00BD65B4">
        <w:rPr>
          <w:u w:val="single"/>
        </w:rPr>
        <w:t>59</w:t>
      </w:r>
      <w:r w:rsidRPr="00BD65B4">
        <w:rPr>
          <w:u w:val="single"/>
        </w:rPr>
        <w:t>) Naknade troškova zaposlenima</w:t>
      </w:r>
      <w:r>
        <w:t xml:space="preserve">, ostvareni su </w:t>
      </w:r>
      <w:r w:rsidR="0012512D">
        <w:t>8,98</w:t>
      </w:r>
      <w:r>
        <w:t>% manje u odnosu na 20</w:t>
      </w:r>
      <w:r w:rsidR="0012512D">
        <w:t>20</w:t>
      </w:r>
      <w:r>
        <w:t xml:space="preserve">. godinu iz razloga </w:t>
      </w:r>
      <w:r w:rsidR="0012512D">
        <w:t>na</w:t>
      </w:r>
      <w:r w:rsidR="00E351E6">
        <w:t>s</w:t>
      </w:r>
      <w:r w:rsidR="0012512D">
        <w:t>tavka</w:t>
      </w:r>
      <w:r>
        <w:t xml:space="preserve"> epidemije </w:t>
      </w:r>
      <w:proofErr w:type="spellStart"/>
      <w:r>
        <w:t>Covida</w:t>
      </w:r>
      <w:proofErr w:type="spellEnd"/>
      <w:r>
        <w:t xml:space="preserve"> 19.</w:t>
      </w:r>
    </w:p>
    <w:p w14:paraId="36C00D71" w14:textId="34954ECA" w:rsidR="00DD2EFB" w:rsidRDefault="004864A0">
      <w:r>
        <w:t xml:space="preserve">Službena putovanja su umanjena za </w:t>
      </w:r>
      <w:r w:rsidR="0012512D">
        <w:t>41,70</w:t>
      </w:r>
      <w:r>
        <w:t>% (AOP 1</w:t>
      </w:r>
      <w:r w:rsidR="0012512D">
        <w:t>60</w:t>
      </w:r>
      <w:r>
        <w:t>), naknade za prijevoz, rad na terenu i odvojeni život su umanjene za 1</w:t>
      </w:r>
      <w:r w:rsidR="00E351E6">
        <w:t>2,27</w:t>
      </w:r>
      <w:r>
        <w:t>% (AOP 16</w:t>
      </w:r>
      <w:r w:rsidR="00E351E6">
        <w:t>1</w:t>
      </w:r>
      <w:r>
        <w:t xml:space="preserve">), </w:t>
      </w:r>
      <w:r w:rsidR="00E351E6">
        <w:t xml:space="preserve">dok se je </w:t>
      </w:r>
      <w:r>
        <w:t xml:space="preserve">stručno usavršavanje zaposlenika </w:t>
      </w:r>
      <w:r w:rsidR="00E351E6">
        <w:t>uvećalo</w:t>
      </w:r>
      <w:r>
        <w:t xml:space="preserve"> za </w:t>
      </w:r>
      <w:r w:rsidR="00E351E6">
        <w:t>129,39</w:t>
      </w:r>
      <w:r>
        <w:t>% (AOP 16</w:t>
      </w:r>
      <w:r w:rsidR="00E351E6">
        <w:t>2</w:t>
      </w:r>
      <w:r>
        <w:t xml:space="preserve">) </w:t>
      </w:r>
      <w:r w:rsidR="00E351E6">
        <w:t>te</w:t>
      </w:r>
      <w:r>
        <w:t xml:space="preserve"> ostale naknade troškova zaposlenicima povećale za </w:t>
      </w:r>
      <w:r w:rsidR="00E351E6">
        <w:t>47,69</w:t>
      </w:r>
      <w:r>
        <w:t xml:space="preserve"> % (AOP 16</w:t>
      </w:r>
      <w:r w:rsidR="00E351E6">
        <w:t>3</w:t>
      </w:r>
      <w:r>
        <w:t>).</w:t>
      </w:r>
    </w:p>
    <w:p w14:paraId="5EFC68A2" w14:textId="77777777" w:rsidR="00E47DEC" w:rsidRDefault="00E47DEC"/>
    <w:p w14:paraId="00D08677" w14:textId="7F4F11FA" w:rsidR="00DD2EFB" w:rsidRDefault="004864A0">
      <w:r w:rsidRPr="00BD65B4">
        <w:rPr>
          <w:u w:val="single"/>
        </w:rPr>
        <w:t>AOP (16</w:t>
      </w:r>
      <w:r w:rsidR="00E35722" w:rsidRPr="00BD65B4">
        <w:rPr>
          <w:u w:val="single"/>
        </w:rPr>
        <w:t>4</w:t>
      </w:r>
      <w:r w:rsidRPr="00BD65B4">
        <w:rPr>
          <w:u w:val="single"/>
        </w:rPr>
        <w:t>) Rashodi za materijal i energiju</w:t>
      </w:r>
      <w:r>
        <w:t xml:space="preserve">, ostvareni su za </w:t>
      </w:r>
      <w:r w:rsidR="00E35722">
        <w:t>4,68</w:t>
      </w:r>
      <w:r>
        <w:t>% više u odnosu na prošlu godinu.</w:t>
      </w:r>
    </w:p>
    <w:p w14:paraId="5AC3319C" w14:textId="7C060C15" w:rsidR="00DD2EFB" w:rsidRDefault="004864A0">
      <w:r>
        <w:t xml:space="preserve">Troškovi energije </w:t>
      </w:r>
      <w:r w:rsidR="00E47DEC">
        <w:t xml:space="preserve">smanjeni su </w:t>
      </w:r>
      <w:r>
        <w:t xml:space="preserve">za </w:t>
      </w:r>
      <w:r w:rsidR="00E47DEC">
        <w:t>3,99</w:t>
      </w:r>
      <w:r>
        <w:t>% više (AOP 1</w:t>
      </w:r>
      <w:r w:rsidR="00E47DEC">
        <w:t>67</w:t>
      </w:r>
      <w:r>
        <w:t xml:space="preserve">), </w:t>
      </w:r>
      <w:r w:rsidR="00E47DEC">
        <w:t>dok su se troškovi uredskog materijala i ostali materijalni rashodi povećali za 19,92% (AOP 165). Materijal i dijelovi za tekuće i investicijsko održavanje smanjeno je za 100% u odnosu na prošlu godinu (AOP 168).</w:t>
      </w:r>
    </w:p>
    <w:p w14:paraId="29FDD97B" w14:textId="0A8D12E3" w:rsidR="00AB565D" w:rsidRDefault="00AB565D"/>
    <w:p w14:paraId="14977DF0" w14:textId="5E26D156" w:rsidR="00AB565D" w:rsidRDefault="00AB565D" w:rsidP="00AB565D">
      <w:pPr>
        <w:pStyle w:val="Standard"/>
      </w:pPr>
      <w:r>
        <w:rPr>
          <w:u w:val="single"/>
        </w:rPr>
        <w:t>AOP 17</w:t>
      </w:r>
      <w:r w:rsidR="00BD65B4">
        <w:rPr>
          <w:u w:val="single"/>
        </w:rPr>
        <w:t>2</w:t>
      </w:r>
      <w:r>
        <w:rPr>
          <w:u w:val="single"/>
        </w:rPr>
        <w:t xml:space="preserve"> – Rashodi za usluge</w:t>
      </w:r>
      <w:r>
        <w:t xml:space="preserve"> </w:t>
      </w:r>
      <w:r w:rsidR="00BD65B4">
        <w:t>smanjeni su</w:t>
      </w:r>
      <w:r>
        <w:t xml:space="preserve"> u odnosu na prethodnu godinu </w:t>
      </w:r>
      <w:r w:rsidR="00BD65B4">
        <w:t>za 1,25%.</w:t>
      </w:r>
    </w:p>
    <w:p w14:paraId="37A64B7A" w14:textId="720FFCA0" w:rsidR="00BD65B4" w:rsidRDefault="00BD65B4" w:rsidP="00AB565D">
      <w:pPr>
        <w:pStyle w:val="Standard"/>
      </w:pPr>
      <w:r>
        <w:t>Najveće smanjenje od 66,43%</w:t>
      </w:r>
      <w:r w:rsidR="008B1643">
        <w:t xml:space="preserve"> </w:t>
      </w:r>
      <w:r>
        <w:t>odnosi se na računalne usluge (AOP 180), zatim na ostale usluge (AOP 181) za 17,43%</w:t>
      </w:r>
      <w:r w:rsidR="008B1643">
        <w:t xml:space="preserve"> te na intelektualne (AOP 179) i komunalne usluge</w:t>
      </w:r>
      <w:r>
        <w:t xml:space="preserve"> </w:t>
      </w:r>
      <w:r w:rsidR="008B1643">
        <w:t>(AOP 176) dok su se rashodi za usluge telefona, pošte i prijevoza, zakupnine i najamnine te zdravstvene usluge povećali u odnosu na prethodnu godinu.</w:t>
      </w:r>
    </w:p>
    <w:p w14:paraId="233252E2" w14:textId="77777777" w:rsidR="00BD65B4" w:rsidRDefault="00BD65B4" w:rsidP="00AB565D">
      <w:pPr>
        <w:pStyle w:val="Standard"/>
      </w:pPr>
    </w:p>
    <w:p w14:paraId="611A41B7" w14:textId="50448822" w:rsidR="00AB565D" w:rsidRDefault="00AB565D" w:rsidP="00C30C3C">
      <w:pPr>
        <w:pStyle w:val="Standard"/>
      </w:pPr>
      <w:r>
        <w:rPr>
          <w:u w:val="single"/>
        </w:rPr>
        <w:t>AOP 18</w:t>
      </w:r>
      <w:r w:rsidR="00B07586">
        <w:rPr>
          <w:u w:val="single"/>
        </w:rPr>
        <w:t>3</w:t>
      </w:r>
      <w:r>
        <w:rPr>
          <w:u w:val="single"/>
        </w:rPr>
        <w:t xml:space="preserve"> – Ostali nespomenuti rashodi</w:t>
      </w:r>
      <w:r w:rsidR="00B07586">
        <w:rPr>
          <w:u w:val="single"/>
        </w:rPr>
        <w:t xml:space="preserve"> poslovanja</w:t>
      </w:r>
      <w:r>
        <w:t xml:space="preserve"> </w:t>
      </w:r>
      <w:r w:rsidR="00B07586">
        <w:t>povećali</w:t>
      </w:r>
      <w:r>
        <w:t xml:space="preserve"> su</w:t>
      </w:r>
      <w:r w:rsidR="00452B57">
        <w:t xml:space="preserve"> se</w:t>
      </w:r>
      <w:r>
        <w:t xml:space="preserve"> u odnosu na 20</w:t>
      </w:r>
      <w:r w:rsidR="00B07586">
        <w:t>20</w:t>
      </w:r>
      <w:r>
        <w:t xml:space="preserve">. godinu </w:t>
      </w:r>
      <w:r w:rsidR="00B07586">
        <w:t>za 7</w:t>
      </w:r>
      <w:r w:rsidR="00452B57">
        <w:t>2,65</w:t>
      </w:r>
      <w:r w:rsidR="00B07586">
        <w:t>%</w:t>
      </w:r>
      <w:r w:rsidR="00452B57">
        <w:t>. Povećanje</w:t>
      </w:r>
      <w:r>
        <w:t xml:space="preserve"> </w:t>
      </w:r>
      <w:r w:rsidR="00452B57">
        <w:t>se</w:t>
      </w:r>
      <w:r>
        <w:t xml:space="preserve"> najviše </w:t>
      </w:r>
      <w:r w:rsidR="00452B57">
        <w:t>odnosi na</w:t>
      </w:r>
      <w:r w:rsidR="00B07586">
        <w:t xml:space="preserve"> </w:t>
      </w:r>
      <w:r>
        <w:t xml:space="preserve">naknade za rad predstavničkih i izvršnih tijela </w:t>
      </w:r>
      <w:r w:rsidR="00B07586">
        <w:t>(AOP 184)</w:t>
      </w:r>
      <w:r w:rsidR="00452B57">
        <w:t xml:space="preserve"> – 76,68%</w:t>
      </w:r>
      <w:r>
        <w:t xml:space="preserve"> zbog </w:t>
      </w:r>
      <w:r w:rsidR="00B07586">
        <w:t>imenovanja novih članova</w:t>
      </w:r>
      <w:r>
        <w:t xml:space="preserve">, </w:t>
      </w:r>
      <w:r w:rsidR="00452B57">
        <w:t>dok su se troškovi za članarine i norme te pristojbe i naknade umanjili (AOP 187,188).</w:t>
      </w:r>
    </w:p>
    <w:p w14:paraId="17D43000" w14:textId="77777777" w:rsidR="00283E41" w:rsidRDefault="00283E41"/>
    <w:p w14:paraId="21BAAFF5" w14:textId="0AA98029" w:rsidR="00DD2EFB" w:rsidRDefault="004864A0">
      <w:r w:rsidRPr="004F53C3">
        <w:rPr>
          <w:u w:val="single"/>
        </w:rPr>
        <w:t>AOP (19</w:t>
      </w:r>
      <w:r w:rsidR="00283E41" w:rsidRPr="004F53C3">
        <w:rPr>
          <w:u w:val="single"/>
        </w:rPr>
        <w:t>1</w:t>
      </w:r>
      <w:r w:rsidRPr="004F53C3">
        <w:rPr>
          <w:u w:val="single"/>
        </w:rPr>
        <w:t>) Financijski rashodi</w:t>
      </w:r>
      <w:r>
        <w:t xml:space="preserve">, ostvareni su </w:t>
      </w:r>
      <w:r w:rsidR="004F53C3">
        <w:t>100</w:t>
      </w:r>
      <w:r>
        <w:t xml:space="preserve">% </w:t>
      </w:r>
      <w:r w:rsidR="004F53C3">
        <w:t>više</w:t>
      </w:r>
      <w:r>
        <w:t xml:space="preserve"> od prethodne godine (AOP 2</w:t>
      </w:r>
      <w:r w:rsidR="004F53C3">
        <w:t>08</w:t>
      </w:r>
      <w:r>
        <w:t>).</w:t>
      </w:r>
    </w:p>
    <w:p w14:paraId="11FD1CE1" w14:textId="77777777" w:rsidR="00DD2EFB" w:rsidRDefault="00DD2EFB"/>
    <w:p w14:paraId="3692A877" w14:textId="1496F9A7" w:rsidR="00831A1F" w:rsidRDefault="00831A1F" w:rsidP="00831A1F">
      <w:pPr>
        <w:rPr>
          <w:u w:val="single"/>
        </w:rPr>
      </w:pPr>
      <w:r w:rsidRPr="004F53C3">
        <w:rPr>
          <w:u w:val="single"/>
        </w:rPr>
        <w:t>AOP (</w:t>
      </w:r>
      <w:r>
        <w:rPr>
          <w:u w:val="single"/>
        </w:rPr>
        <w:t>247</w:t>
      </w:r>
      <w:r w:rsidRPr="004F53C3">
        <w:rPr>
          <w:u w:val="single"/>
        </w:rPr>
        <w:t xml:space="preserve">) </w:t>
      </w:r>
      <w:r>
        <w:rPr>
          <w:u w:val="single"/>
        </w:rPr>
        <w:t>Naknade građanima i kućanstvima na temelju osiguranja i druge naknade</w:t>
      </w:r>
    </w:p>
    <w:p w14:paraId="7EF4429F" w14:textId="026AC6D0" w:rsidR="00831A1F" w:rsidRDefault="00831A1F" w:rsidP="00831A1F">
      <w:r>
        <w:t xml:space="preserve">Tijekom 2021. godine </w:t>
      </w:r>
      <w:r w:rsidR="00DA0C32">
        <w:t>sufinancirali su se troškovi stručnog usavršavanja djelatnice.</w:t>
      </w:r>
    </w:p>
    <w:p w14:paraId="5559D4FB" w14:textId="724C7C99" w:rsidR="004F7B4F" w:rsidRDefault="004F7B4F" w:rsidP="00831A1F"/>
    <w:p w14:paraId="0167BABD" w14:textId="2C811C3A" w:rsidR="004F7B4F" w:rsidRDefault="004F7B4F" w:rsidP="004F7B4F">
      <w:r w:rsidRPr="007253C9">
        <w:rPr>
          <w:u w:val="single"/>
        </w:rPr>
        <w:t xml:space="preserve">AOP </w:t>
      </w:r>
      <w:r w:rsidR="00EC711F">
        <w:rPr>
          <w:u w:val="single"/>
        </w:rPr>
        <w:t>(</w:t>
      </w:r>
      <w:r>
        <w:rPr>
          <w:u w:val="single"/>
        </w:rPr>
        <w:t>3</w:t>
      </w:r>
      <w:r w:rsidR="00EC711F">
        <w:rPr>
          <w:u w:val="single"/>
        </w:rPr>
        <w:t>50)</w:t>
      </w:r>
      <w:r w:rsidRPr="007253C9">
        <w:rPr>
          <w:u w:val="single"/>
        </w:rPr>
        <w:t xml:space="preserve"> – </w:t>
      </w:r>
      <w:r w:rsidR="00EC711F">
        <w:rPr>
          <w:u w:val="single"/>
        </w:rPr>
        <w:t>Nematerijalna imovina</w:t>
      </w:r>
      <w:r>
        <w:rPr>
          <w:u w:val="single"/>
        </w:rPr>
        <w:t xml:space="preserve"> </w:t>
      </w:r>
      <w:r>
        <w:t>– znatno se smanjil</w:t>
      </w:r>
      <w:r w:rsidR="00EC711F">
        <w:t>a</w:t>
      </w:r>
      <w:r>
        <w:t xml:space="preserve"> u odnosu na prethodnu godinu </w:t>
      </w:r>
      <w:r w:rsidR="00EC711F">
        <w:t>48,73</w:t>
      </w:r>
      <w:r>
        <w:t>%, a odnos</w:t>
      </w:r>
      <w:r w:rsidR="00EC711F">
        <w:t>i</w:t>
      </w:r>
      <w:r>
        <w:t xml:space="preserve"> se na troškove licenci</w:t>
      </w:r>
      <w:r w:rsidR="00EC711F">
        <w:t xml:space="preserve"> (AOP 353)</w:t>
      </w:r>
      <w:r>
        <w:t>.</w:t>
      </w:r>
    </w:p>
    <w:p w14:paraId="0373A33B" w14:textId="77777777" w:rsidR="004F7B4F" w:rsidRDefault="004F7B4F" w:rsidP="004F7B4F"/>
    <w:p w14:paraId="0649B540" w14:textId="5D969D27" w:rsidR="004F7B4F" w:rsidRDefault="004F7B4F" w:rsidP="004F7B4F">
      <w:r w:rsidRPr="002C5062">
        <w:rPr>
          <w:u w:val="single"/>
        </w:rPr>
        <w:t xml:space="preserve">AOP </w:t>
      </w:r>
      <w:r w:rsidR="00EC711F">
        <w:rPr>
          <w:u w:val="single"/>
        </w:rPr>
        <w:t>(</w:t>
      </w:r>
      <w:r w:rsidRPr="002C5062">
        <w:rPr>
          <w:u w:val="single"/>
        </w:rPr>
        <w:t>36</w:t>
      </w:r>
      <w:r w:rsidR="00EC711F">
        <w:rPr>
          <w:u w:val="single"/>
        </w:rPr>
        <w:t>3)</w:t>
      </w:r>
      <w:r>
        <w:rPr>
          <w:u w:val="single"/>
        </w:rPr>
        <w:t xml:space="preserve"> </w:t>
      </w:r>
      <w:r w:rsidRPr="002C5062">
        <w:rPr>
          <w:u w:val="single"/>
        </w:rPr>
        <w:t>-</w:t>
      </w:r>
      <w:r>
        <w:rPr>
          <w:u w:val="single"/>
        </w:rPr>
        <w:t xml:space="preserve"> </w:t>
      </w:r>
      <w:r w:rsidRPr="002C5062">
        <w:rPr>
          <w:u w:val="single"/>
        </w:rPr>
        <w:t>Postrojenja i oprema</w:t>
      </w:r>
      <w:r>
        <w:t xml:space="preserve"> - znatno se smanjila u odnosu na prethodnu godinu </w:t>
      </w:r>
      <w:r w:rsidR="00EC711F">
        <w:t>67,69%</w:t>
      </w:r>
      <w:r>
        <w:t>, a podrazumijeva nabavu uredske i komunikacijske opreme</w:t>
      </w:r>
      <w:r w:rsidR="00EC711F">
        <w:t xml:space="preserve"> te namještaj</w:t>
      </w:r>
      <w:r>
        <w:t>.</w:t>
      </w:r>
    </w:p>
    <w:p w14:paraId="7617DA19" w14:textId="77777777" w:rsidR="00EC711F" w:rsidRDefault="00EC711F" w:rsidP="004F7B4F"/>
    <w:p w14:paraId="76E1E74D" w14:textId="77777777" w:rsidR="00831A1F" w:rsidRDefault="00831A1F" w:rsidP="00831A1F">
      <w:pPr>
        <w:rPr>
          <w:u w:val="single"/>
        </w:rPr>
      </w:pPr>
    </w:p>
    <w:p w14:paraId="6C6E8BF6" w14:textId="6ADDB914" w:rsidR="00DD2EFB" w:rsidRPr="00A97C49" w:rsidRDefault="00831A1F" w:rsidP="00A97C49">
      <w:pPr>
        <w:pStyle w:val="ListParagraph"/>
        <w:numPr>
          <w:ilvl w:val="0"/>
          <w:numId w:val="1"/>
        </w:numPr>
        <w:rPr>
          <w:b/>
          <w:bCs/>
        </w:rPr>
      </w:pPr>
      <w:r w:rsidRPr="00A97C49">
        <w:rPr>
          <w:b/>
          <w:bCs/>
        </w:rPr>
        <w:t>B</w:t>
      </w:r>
      <w:r w:rsidR="004864A0" w:rsidRPr="00A97C49">
        <w:rPr>
          <w:b/>
          <w:bCs/>
        </w:rPr>
        <w:t>ilješke uz izvještaj o rashodima prema funkcijskoj klasifikaciji – Obrazac RAS-funkcijski</w:t>
      </w:r>
    </w:p>
    <w:p w14:paraId="67FC3CB9" w14:textId="77777777" w:rsidR="00DD2EFB" w:rsidRDefault="00DD2EFB"/>
    <w:p w14:paraId="52B275D3" w14:textId="2BF0E28E" w:rsidR="00DD2EFB" w:rsidRDefault="004864A0">
      <w:r>
        <w:t>Funkcijska klasifikacija sadrži rashode razvrstane prema njihovoj namjeni. Prema funkcijskoj klasifikaciji razvrstavaju se rashodi poslovanja razreda 3 i rashodi za nabavu nefinancijske imovine razreda 4.</w:t>
      </w:r>
    </w:p>
    <w:p w14:paraId="53302911" w14:textId="77777777" w:rsidR="00A97C49" w:rsidRDefault="00A97C49"/>
    <w:p w14:paraId="22F9C31F" w14:textId="77777777" w:rsidR="00E07FA4" w:rsidRDefault="00E07FA4"/>
    <w:p w14:paraId="0D9EC810" w14:textId="77777777" w:rsidR="00DD2EFB" w:rsidRDefault="004864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uz izvještaj o obvezama – Obrazac OBVEZE</w:t>
      </w:r>
    </w:p>
    <w:p w14:paraId="1F6DB47A" w14:textId="77777777" w:rsidR="00DD2EFB" w:rsidRDefault="00DD2EFB"/>
    <w:p w14:paraId="29112127" w14:textId="77777777" w:rsidR="002D42F4" w:rsidRPr="00C30C3C" w:rsidRDefault="002D42F4" w:rsidP="002D42F4">
      <w:pPr>
        <w:rPr>
          <w:u w:val="single"/>
        </w:rPr>
      </w:pPr>
      <w:r w:rsidRPr="00C30C3C">
        <w:rPr>
          <w:u w:val="single"/>
        </w:rPr>
        <w:t>Bilješka uz AOP 001 – Stanje obveza 1. siječnja 2021.</w:t>
      </w:r>
    </w:p>
    <w:p w14:paraId="11319D41" w14:textId="77777777" w:rsidR="002D42F4" w:rsidRDefault="002D42F4" w:rsidP="002D42F4"/>
    <w:p w14:paraId="376A700D" w14:textId="77777777" w:rsidR="002D42F4" w:rsidRDefault="002D42F4" w:rsidP="002D42F4">
      <w:r>
        <w:t>Stanje obveza na početku proračunske 2021. godine je 362.131,98 kn, a odnosi se na nedospjele i nepodmirene obveze iz prosinca 2020. podmirene u siječnju 2021. godine.</w:t>
      </w:r>
    </w:p>
    <w:p w14:paraId="0959675C" w14:textId="77777777" w:rsidR="002D42F4" w:rsidRDefault="002D42F4" w:rsidP="002D42F4"/>
    <w:p w14:paraId="45DEF695" w14:textId="688752D2" w:rsidR="002D42F4" w:rsidRPr="00C30C3C" w:rsidRDefault="002D42F4" w:rsidP="002D42F4">
      <w:pPr>
        <w:rPr>
          <w:u w:val="single"/>
        </w:rPr>
      </w:pPr>
      <w:r w:rsidRPr="00C30C3C">
        <w:rPr>
          <w:u w:val="single"/>
        </w:rPr>
        <w:t>Bilješka uz AOP 002 – Povećanje obveza u izvještajnom razdoblju (4.880.374,97 kn) i</w:t>
      </w:r>
    </w:p>
    <w:p w14:paraId="15A69AE2" w14:textId="153B35F4" w:rsidR="002D42F4" w:rsidRDefault="002D42F4" w:rsidP="002D42F4">
      <w:r>
        <w:t>AOP 020 – podmirene obveze u izvještajnom razdoblju (4.84</w:t>
      </w:r>
      <w:r w:rsidR="00610E80">
        <w:t>7</w:t>
      </w:r>
      <w:r w:rsidR="000B49BB">
        <w:t>.126,58</w:t>
      </w:r>
      <w:r>
        <w:t xml:space="preserve"> kn)</w:t>
      </w:r>
    </w:p>
    <w:p w14:paraId="33908108" w14:textId="77777777" w:rsidR="002D42F4" w:rsidRDefault="002D42F4" w:rsidP="002D42F4"/>
    <w:p w14:paraId="49B2DAD6" w14:textId="77777777" w:rsidR="002D42F4" w:rsidRDefault="002D42F4" w:rsidP="002D42F4">
      <w:pPr>
        <w:pStyle w:val="Standard"/>
        <w:jc w:val="both"/>
      </w:pPr>
      <w:r>
        <w:t>Usporedbom ova dva podatka dobiva se informacija o mogućnosti obveznika da tijekom proračunske godine podmiri obveze barem u istom iznosu koliko su i nastale, kako je predviđeno prilikom planiranja proračuna ili financijskog plana budući da se proračunom ili financijskim planom osiguravaju sredstva za pokriće i podmirenje obveza nastalih tijekom proračunske godine i prenesenih obveza iz prethodne proračunske godine.</w:t>
      </w:r>
    </w:p>
    <w:p w14:paraId="1E13ED1E" w14:textId="77777777" w:rsidR="002D42F4" w:rsidRDefault="002D42F4"/>
    <w:p w14:paraId="317758A6" w14:textId="77777777" w:rsidR="003264B2" w:rsidRDefault="004864A0">
      <w:r>
        <w:t>Agencija je tijekom proračunske godine podmirila sve dospjele obveze u istom iznosu koliko su i nastale, kako je predviđeno prilikom planiranja proračuna (financijskog plana)</w:t>
      </w:r>
      <w:r w:rsidR="003264B2">
        <w:t>.</w:t>
      </w:r>
    </w:p>
    <w:p w14:paraId="2D0F8FF2" w14:textId="4A90A734" w:rsidR="00DD2EFB" w:rsidRDefault="004864A0">
      <w:r>
        <w:t xml:space="preserve"> </w:t>
      </w:r>
    </w:p>
    <w:p w14:paraId="3B61858B" w14:textId="77777777" w:rsidR="00610E80" w:rsidRDefault="00610E80"/>
    <w:p w14:paraId="56EE7EB6" w14:textId="77777777" w:rsidR="006B2FDE" w:rsidRDefault="006B2FDE"/>
    <w:p w14:paraId="44C80C9D" w14:textId="77777777" w:rsidR="006B2FDE" w:rsidRDefault="006B2FDE"/>
    <w:p w14:paraId="045EC5DE" w14:textId="77777777" w:rsidR="006B2FDE" w:rsidRDefault="006B2FDE"/>
    <w:p w14:paraId="30822A5F" w14:textId="77777777" w:rsidR="006B2FDE" w:rsidRDefault="006B2FDE"/>
    <w:p w14:paraId="7F13DEBC" w14:textId="70275F48" w:rsidR="006B2FDE" w:rsidRDefault="006B2FDE"/>
    <w:p w14:paraId="317F52AE" w14:textId="7C93AB0F" w:rsidR="00C30C3C" w:rsidRDefault="00C30C3C"/>
    <w:p w14:paraId="48165416" w14:textId="1BA4B0BA" w:rsidR="00C30C3C" w:rsidRDefault="00C30C3C"/>
    <w:p w14:paraId="181C9628" w14:textId="1BB9340E" w:rsidR="00C30C3C" w:rsidRDefault="00C30C3C"/>
    <w:p w14:paraId="2B0EC76B" w14:textId="71050E8A" w:rsidR="00C30C3C" w:rsidRDefault="00C30C3C"/>
    <w:p w14:paraId="6A0BA696" w14:textId="77777777" w:rsidR="00C30C3C" w:rsidRDefault="00C30C3C"/>
    <w:p w14:paraId="4911F99A" w14:textId="0CA05CC6" w:rsidR="00DD2EFB" w:rsidRPr="00C30C3C" w:rsidRDefault="004864A0">
      <w:pPr>
        <w:rPr>
          <w:u w:val="single"/>
        </w:rPr>
      </w:pPr>
      <w:r w:rsidRPr="00C30C3C">
        <w:rPr>
          <w:u w:val="single"/>
        </w:rPr>
        <w:t>Bilješka uz AOP 03</w:t>
      </w:r>
      <w:r w:rsidR="003264B2" w:rsidRPr="00C30C3C">
        <w:rPr>
          <w:u w:val="single"/>
        </w:rPr>
        <w:t>8</w:t>
      </w:r>
      <w:r w:rsidRPr="00C30C3C">
        <w:rPr>
          <w:u w:val="single"/>
        </w:rPr>
        <w:t xml:space="preserve"> – Stanje obveza na kraju izvještajnog razdoblja</w:t>
      </w:r>
    </w:p>
    <w:p w14:paraId="0929F466" w14:textId="77777777" w:rsidR="00E07FA4" w:rsidRDefault="00E07FA4"/>
    <w:p w14:paraId="35636132" w14:textId="4CE5F40E" w:rsidR="00DD2EFB" w:rsidRDefault="004864A0">
      <w:r>
        <w:t>Stanje nedospjelih i nepodmirenih obveza koje se prenose u slijedeću proračunsku godinu pojašnjeno je u slijedećoj tablici :</w:t>
      </w:r>
    </w:p>
    <w:p w14:paraId="409488B7" w14:textId="6CC81E25" w:rsidR="00DD2EFB" w:rsidRDefault="00DD2EFB"/>
    <w:p w14:paraId="54395864" w14:textId="77777777" w:rsidR="00E07FA4" w:rsidRDefault="00E07FA4"/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D2EFB" w14:paraId="1B2B6300" w14:textId="77777777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AE3F" w14:textId="77777777" w:rsidR="00DD2EFB" w:rsidRDefault="004864A0">
            <w:pPr>
              <w:rPr>
                <w:b/>
                <w:bCs/>
              </w:rPr>
            </w:pPr>
            <w:r>
              <w:rPr>
                <w:b/>
                <w:bCs/>
              </w:rPr>
              <w:t>Obveze Agencije: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7197" w14:textId="6C2243F8" w:rsidR="00DD2EFB" w:rsidRDefault="00486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B707F">
              <w:rPr>
                <w:b/>
                <w:bCs/>
              </w:rPr>
              <w:t>20</w:t>
            </w:r>
            <w:r>
              <w:rPr>
                <w:b/>
                <w:bCs/>
              </w:rPr>
              <w:t>.godina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8B5D" w14:textId="1A30BD4C" w:rsidR="00DD2EFB" w:rsidRDefault="00486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B707F">
              <w:rPr>
                <w:b/>
                <w:bCs/>
              </w:rPr>
              <w:t>1</w:t>
            </w:r>
            <w:r>
              <w:rPr>
                <w:b/>
                <w:bCs/>
              </w:rPr>
              <w:t>.godina</w:t>
            </w:r>
          </w:p>
        </w:tc>
      </w:tr>
      <w:tr w:rsidR="00DD2EFB" w14:paraId="3D576B6A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C659" w14:textId="77777777" w:rsidR="00DD2EFB" w:rsidRDefault="004864A0">
            <w:r>
              <w:t>-naknade za plaće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2BE3" w14:textId="00755822" w:rsidR="00DD2EFB" w:rsidRDefault="006B707F">
            <w:pPr>
              <w:jc w:val="center"/>
            </w:pPr>
            <w:r>
              <w:t>301.232,18</w:t>
            </w:r>
            <w:r w:rsidR="004864A0">
              <w:t xml:space="preserve">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57FE" w14:textId="2C68C661" w:rsidR="00DD2EFB" w:rsidRDefault="006B707F">
            <w:pPr>
              <w:jc w:val="center"/>
            </w:pPr>
            <w:r>
              <w:t>308.670,60</w:t>
            </w:r>
            <w:r w:rsidR="004864A0">
              <w:t xml:space="preserve"> kn</w:t>
            </w:r>
          </w:p>
        </w:tc>
      </w:tr>
      <w:tr w:rsidR="00DD2EFB" w14:paraId="3267133E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8791" w14:textId="77777777" w:rsidR="00DD2EFB" w:rsidRDefault="004864A0">
            <w:r>
              <w:t>-naknade za prijevoz zaposlenika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B026" w14:textId="28C6B09B" w:rsidR="00DD2EFB" w:rsidRDefault="006B707F">
            <w:pPr>
              <w:jc w:val="center"/>
            </w:pPr>
            <w:r>
              <w:t xml:space="preserve">1.662,84 </w:t>
            </w:r>
            <w:r w:rsidR="004864A0">
              <w:t>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7FEB" w14:textId="27D0B7AA" w:rsidR="00DD2EFB" w:rsidRDefault="006B707F">
            <w:pPr>
              <w:jc w:val="center"/>
            </w:pPr>
            <w:r>
              <w:t>3.843,45</w:t>
            </w:r>
            <w:r w:rsidR="004864A0">
              <w:t xml:space="preserve"> kn</w:t>
            </w:r>
          </w:p>
        </w:tc>
      </w:tr>
      <w:tr w:rsidR="00DD2EFB" w14:paraId="19E57E6E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0631" w14:textId="77777777" w:rsidR="00DD2EFB" w:rsidRDefault="004864A0">
            <w:r>
              <w:t>-naknade za intelektualne usluge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6962" w14:textId="77777777" w:rsidR="00DD2EFB" w:rsidRDefault="004864A0">
            <w:pPr>
              <w:jc w:val="center"/>
            </w:pPr>
            <w:r>
              <w:t>3.125,00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9770" w14:textId="2CBD7260" w:rsidR="00DD2EFB" w:rsidRDefault="00B227A6">
            <w:pPr>
              <w:jc w:val="center"/>
            </w:pPr>
            <w:r>
              <w:t>5</w:t>
            </w:r>
            <w:r w:rsidR="004864A0">
              <w:t>.125,00 kn</w:t>
            </w:r>
          </w:p>
        </w:tc>
      </w:tr>
      <w:tr w:rsidR="00DD2EFB" w14:paraId="061B3358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F42A" w14:textId="77777777" w:rsidR="00DD2EFB" w:rsidRDefault="004864A0">
            <w:r>
              <w:t>-naknade ugovora o djelu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BD90" w14:textId="74B11D77" w:rsidR="00DD2EFB" w:rsidRDefault="006B707F">
            <w:pPr>
              <w:jc w:val="center"/>
            </w:pPr>
            <w:r>
              <w:t xml:space="preserve">2.348,04 </w:t>
            </w:r>
            <w:r w:rsidR="004864A0">
              <w:t>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E9AC" w14:textId="77777777" w:rsidR="00DD2EFB" w:rsidRDefault="004864A0">
            <w:pPr>
              <w:jc w:val="center"/>
            </w:pPr>
            <w:r>
              <w:t>2.348,04 kn</w:t>
            </w:r>
          </w:p>
        </w:tc>
      </w:tr>
      <w:tr w:rsidR="00DD2EFB" w14:paraId="7A9263E6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71DC" w14:textId="77777777" w:rsidR="00DD2EFB" w:rsidRDefault="004864A0">
            <w:r>
              <w:t>-naknade članovima Upravnog vijeća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FC49" w14:textId="585079A4" w:rsidR="00DD2EFB" w:rsidRDefault="006B707F">
            <w:pPr>
              <w:jc w:val="center"/>
            </w:pPr>
            <w:r>
              <w:t xml:space="preserve">5.628,28 </w:t>
            </w:r>
            <w:r w:rsidR="004864A0">
              <w:t>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3D8F" w14:textId="16716A5C" w:rsidR="00DD2EFB" w:rsidRDefault="00B227A6">
            <w:pPr>
              <w:jc w:val="center"/>
            </w:pPr>
            <w:r>
              <w:t>14.070,78</w:t>
            </w:r>
            <w:r w:rsidR="004864A0">
              <w:t xml:space="preserve"> kn</w:t>
            </w:r>
          </w:p>
        </w:tc>
      </w:tr>
      <w:tr w:rsidR="00DD2EFB" w14:paraId="73FFC9EC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5D4C" w14:textId="77777777" w:rsidR="00DD2EFB" w:rsidRDefault="004864A0">
            <w:r>
              <w:t>-uredski i ostali materijal (12.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186F" w14:textId="2FA4FC6E" w:rsidR="00DD2EFB" w:rsidRDefault="006B707F">
            <w:pPr>
              <w:jc w:val="center"/>
            </w:pPr>
            <w:r>
              <w:t xml:space="preserve">324,45 </w:t>
            </w:r>
            <w:r w:rsidR="004864A0">
              <w:t>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1C69" w14:textId="7D2E0234" w:rsidR="00DD2EFB" w:rsidRDefault="00A62D29">
            <w:pPr>
              <w:jc w:val="center"/>
            </w:pPr>
            <w:r>
              <w:t>594,81</w:t>
            </w:r>
            <w:r w:rsidR="004864A0">
              <w:t xml:space="preserve"> kn</w:t>
            </w:r>
          </w:p>
        </w:tc>
      </w:tr>
      <w:tr w:rsidR="008164F9" w14:paraId="01E29D40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C468" w14:textId="5253039C" w:rsidR="008164F9" w:rsidRDefault="008164F9" w:rsidP="00A62D29">
            <w:r>
              <w:t>-usluge telefona, pošte i prijevoza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A293" w14:textId="17E1BA6F" w:rsidR="008164F9" w:rsidRDefault="004427DA">
            <w:pPr>
              <w:jc w:val="center"/>
            </w:pPr>
            <w:r>
              <w:t>3.472,85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9E3E" w14:textId="3393111C" w:rsidR="008164F9" w:rsidRDefault="008164F9">
            <w:pPr>
              <w:jc w:val="center"/>
            </w:pPr>
            <w:r>
              <w:t>3.607,81 kn</w:t>
            </w:r>
          </w:p>
        </w:tc>
      </w:tr>
      <w:tr w:rsidR="008164F9" w14:paraId="06523683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52F" w14:textId="5285EA36" w:rsidR="008164F9" w:rsidRDefault="008164F9" w:rsidP="008164F9">
            <w:r>
              <w:t>-usluge tekućeg investicijskog održavanje opreme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C26AA" w14:textId="00EB3A14" w:rsidR="008164F9" w:rsidRDefault="004427DA" w:rsidP="008164F9">
            <w:pPr>
              <w:jc w:val="center"/>
            </w:pPr>
            <w:r>
              <w:t>5.625,00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1262" w14:textId="11A547E9" w:rsidR="008164F9" w:rsidRDefault="008164F9" w:rsidP="008164F9">
            <w:pPr>
              <w:jc w:val="center"/>
            </w:pPr>
            <w:r>
              <w:t>5.625,00 kn</w:t>
            </w:r>
          </w:p>
        </w:tc>
      </w:tr>
      <w:tr w:rsidR="008164F9" w14:paraId="1905467C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BD9B0" w14:textId="031B5DAD" w:rsidR="008164F9" w:rsidRDefault="008164F9" w:rsidP="008164F9">
            <w:r>
              <w:t>-ostale naknade troškova zaposlenicima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0FE7" w14:textId="10332CE3" w:rsidR="008164F9" w:rsidRDefault="008164F9" w:rsidP="008164F9">
            <w:pPr>
              <w:jc w:val="center"/>
            </w:pPr>
            <w:r>
              <w:t>0,00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D807" w14:textId="12AD274F" w:rsidR="008164F9" w:rsidRDefault="008164F9" w:rsidP="008164F9">
            <w:pPr>
              <w:jc w:val="center"/>
            </w:pPr>
            <w:r>
              <w:t>1.238,00 kn</w:t>
            </w:r>
          </w:p>
        </w:tc>
      </w:tr>
      <w:tr w:rsidR="008164F9" w14:paraId="57473E8B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6483" w14:textId="77777777" w:rsidR="008164F9" w:rsidRDefault="008164F9" w:rsidP="008164F9">
            <w:r>
              <w:t>-naknade za najam i režije</w:t>
            </w:r>
            <w:r>
              <w:tab/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6C026" w14:textId="6F619A94" w:rsidR="008164F9" w:rsidRDefault="004427DA" w:rsidP="008164F9">
            <w:pPr>
              <w:jc w:val="center"/>
            </w:pPr>
            <w:r>
              <w:t>38.700,84</w:t>
            </w:r>
            <w:r w:rsidR="008164F9">
              <w:t xml:space="preserve">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1B03" w14:textId="7FAD1282" w:rsidR="008164F9" w:rsidRDefault="008164F9" w:rsidP="008164F9">
            <w:pPr>
              <w:jc w:val="center"/>
            </w:pPr>
            <w:r>
              <w:t>37.276,44 kn</w:t>
            </w:r>
          </w:p>
        </w:tc>
      </w:tr>
      <w:tr w:rsidR="008164F9" w14:paraId="3BEFDAAF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4F75" w14:textId="77777777" w:rsidR="008164F9" w:rsidRDefault="008164F9" w:rsidP="008164F9">
            <w:r>
              <w:t>-ostali nespomenuti rashodi poslovanja (FINA 12. mjesec)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2A19" w14:textId="167060AE" w:rsidR="008164F9" w:rsidRDefault="008164F9" w:rsidP="008164F9">
            <w:pPr>
              <w:jc w:val="center"/>
            </w:pPr>
            <w:r>
              <w:t>12,50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DED2" w14:textId="77777777" w:rsidR="008164F9" w:rsidRDefault="008164F9" w:rsidP="008164F9">
            <w:pPr>
              <w:jc w:val="center"/>
            </w:pPr>
            <w:r>
              <w:t>12,50 kn</w:t>
            </w:r>
          </w:p>
        </w:tc>
      </w:tr>
      <w:tr w:rsidR="008164F9" w14:paraId="1BC888A0" w14:textId="77777777"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2E7B" w14:textId="77777777" w:rsidR="008164F9" w:rsidRDefault="008164F9" w:rsidP="008164F9">
            <w:r>
              <w:t>-naknada za službeno putovanje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2CC2" w14:textId="77777777" w:rsidR="008164F9" w:rsidRDefault="008164F9" w:rsidP="008164F9">
            <w:pPr>
              <w:jc w:val="center"/>
            </w:pPr>
            <w:r>
              <w:t>0,00 kn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BC8E" w14:textId="62516F68" w:rsidR="008164F9" w:rsidRDefault="008164F9" w:rsidP="008164F9">
            <w:pPr>
              <w:jc w:val="center"/>
            </w:pPr>
            <w:r>
              <w:t>506,00 kn</w:t>
            </w:r>
          </w:p>
        </w:tc>
      </w:tr>
      <w:tr w:rsidR="00E15CDA" w14:paraId="5E0667C5" w14:textId="77777777"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CB60" w14:textId="770CC87B" w:rsidR="00E15CDA" w:rsidRDefault="00E15CDA" w:rsidP="008164F9">
            <w:r>
              <w:t>-obveze za zatezne kamate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D5E0" w14:textId="75A4A642" w:rsidR="00E15CDA" w:rsidRDefault="004427DA" w:rsidP="008164F9">
            <w:pPr>
              <w:jc w:val="center"/>
            </w:pPr>
            <w:r>
              <w:t>0,00 kn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DCE76" w14:textId="13D3C547" w:rsidR="00E15CDA" w:rsidRDefault="00E15CDA" w:rsidP="008164F9">
            <w:pPr>
              <w:jc w:val="center"/>
            </w:pPr>
            <w:r>
              <w:t>0,82 kn</w:t>
            </w:r>
          </w:p>
        </w:tc>
      </w:tr>
      <w:tr w:rsidR="00E15CDA" w14:paraId="2C21875F" w14:textId="77777777"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8B9E" w14:textId="4974D913" w:rsidR="00E15CDA" w:rsidRDefault="00E15CDA" w:rsidP="008164F9">
            <w:r>
              <w:t>-obveze proračunskih korisnika za povrat u proračun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117A" w14:textId="10A44D08" w:rsidR="00E15CDA" w:rsidRDefault="00E15CDA" w:rsidP="008164F9">
            <w:pPr>
              <w:jc w:val="center"/>
            </w:pPr>
            <w:r>
              <w:t>0,00 kn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3506F" w14:textId="573562E1" w:rsidR="00E15CDA" w:rsidRDefault="00E15CDA" w:rsidP="008164F9">
            <w:pPr>
              <w:jc w:val="center"/>
            </w:pPr>
            <w:r>
              <w:t>1</w:t>
            </w:r>
            <w:r w:rsidR="00166814">
              <w:t>2</w:t>
            </w:r>
            <w:r>
              <w:t>.</w:t>
            </w:r>
            <w:r w:rsidR="00166814">
              <w:t>461</w:t>
            </w:r>
            <w:r>
              <w:t>,</w:t>
            </w:r>
            <w:r w:rsidR="00166814">
              <w:t>12</w:t>
            </w:r>
            <w:r>
              <w:t xml:space="preserve"> kn</w:t>
            </w:r>
          </w:p>
        </w:tc>
      </w:tr>
      <w:tr w:rsidR="008164F9" w14:paraId="194E0C5B" w14:textId="77777777"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E3179" w14:textId="77777777" w:rsidR="008164F9" w:rsidRDefault="008164F9" w:rsidP="008164F9">
            <w:r>
              <w:t>UKUPNO, stanje na dan</w:t>
            </w:r>
          </w:p>
          <w:p w14:paraId="422CD682" w14:textId="77777777" w:rsidR="008164F9" w:rsidRDefault="008164F9" w:rsidP="008164F9">
            <w:r>
              <w:t>31. prosinca: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1444" w14:textId="77777777" w:rsidR="008164F9" w:rsidRDefault="008164F9" w:rsidP="008164F9">
            <w:pPr>
              <w:jc w:val="center"/>
            </w:pPr>
          </w:p>
          <w:p w14:paraId="7BCC42C6" w14:textId="6E16D8E8" w:rsidR="008164F9" w:rsidRDefault="008164F9" w:rsidP="008164F9">
            <w:pPr>
              <w:jc w:val="center"/>
            </w:pPr>
            <w:r>
              <w:t>362.131,98 kn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B078" w14:textId="77777777" w:rsidR="008164F9" w:rsidRDefault="008164F9" w:rsidP="008164F9">
            <w:pPr>
              <w:jc w:val="center"/>
            </w:pPr>
          </w:p>
          <w:p w14:paraId="0EC0E641" w14:textId="62188E58" w:rsidR="008164F9" w:rsidRDefault="0059670B" w:rsidP="008164F9">
            <w:pPr>
              <w:jc w:val="center"/>
            </w:pPr>
            <w:r>
              <w:t>39</w:t>
            </w:r>
            <w:r w:rsidR="00166814">
              <w:t>5.380,37</w:t>
            </w:r>
            <w:r w:rsidR="008164F9">
              <w:t xml:space="preserve"> kn</w:t>
            </w:r>
          </w:p>
        </w:tc>
      </w:tr>
    </w:tbl>
    <w:p w14:paraId="623CB023" w14:textId="77777777" w:rsidR="00DD2EFB" w:rsidRDefault="00DD2EFB"/>
    <w:p w14:paraId="4D3E0794" w14:textId="45AAFA7F" w:rsidR="00DD2EFB" w:rsidRDefault="004864A0">
      <w:r>
        <w:t>Sve obveze iz 20</w:t>
      </w:r>
      <w:r w:rsidR="009A46C8">
        <w:t>20</w:t>
      </w:r>
      <w:r>
        <w:t>. podmirene su u siječnju 202</w:t>
      </w:r>
      <w:r w:rsidR="009A46C8">
        <w:t>1</w:t>
      </w:r>
      <w:r>
        <w:t>., a obveze iz 202</w:t>
      </w:r>
      <w:r w:rsidR="009A46C8">
        <w:t>1</w:t>
      </w:r>
      <w:r>
        <w:t>. podmirene s</w:t>
      </w:r>
      <w:r w:rsidR="00D63816">
        <w:t>u</w:t>
      </w:r>
      <w:r>
        <w:t xml:space="preserve"> u siječnju 202</w:t>
      </w:r>
      <w:r w:rsidR="009A46C8">
        <w:t>2</w:t>
      </w:r>
      <w:r>
        <w:t xml:space="preserve">. godine i veće </w:t>
      </w:r>
      <w:r w:rsidR="00D63816">
        <w:t>su za 9,</w:t>
      </w:r>
      <w:r w:rsidR="00166814">
        <w:t>18</w:t>
      </w:r>
      <w:r w:rsidR="00D63816">
        <w:t xml:space="preserve">% </w:t>
      </w:r>
      <w:r>
        <w:t>u odnosu na prethodnu</w:t>
      </w:r>
      <w:r w:rsidR="00D63816">
        <w:t xml:space="preserve"> godinu</w:t>
      </w:r>
      <w:r>
        <w:t xml:space="preserve">. </w:t>
      </w:r>
    </w:p>
    <w:p w14:paraId="5638B9C9" w14:textId="1480F157" w:rsidR="00DD2EFB" w:rsidRDefault="00DD2EFB">
      <w:pPr>
        <w:pStyle w:val="Standard"/>
      </w:pPr>
    </w:p>
    <w:p w14:paraId="31B75ADE" w14:textId="5C02BC68" w:rsidR="00E07FA4" w:rsidRDefault="00E07FA4">
      <w:pPr>
        <w:pStyle w:val="Standard"/>
      </w:pPr>
    </w:p>
    <w:p w14:paraId="7002BB8B" w14:textId="33E1B490" w:rsidR="00C30C3C" w:rsidRDefault="00C30C3C">
      <w:pPr>
        <w:pStyle w:val="Standard"/>
      </w:pPr>
    </w:p>
    <w:p w14:paraId="74D8D5E5" w14:textId="3D92AD60" w:rsidR="00C30C3C" w:rsidRDefault="00C30C3C">
      <w:pPr>
        <w:pStyle w:val="Standard"/>
      </w:pPr>
    </w:p>
    <w:p w14:paraId="3F120707" w14:textId="31A47880" w:rsidR="00C30C3C" w:rsidRDefault="00C30C3C">
      <w:pPr>
        <w:pStyle w:val="Standard"/>
      </w:pPr>
    </w:p>
    <w:p w14:paraId="0DAFA1FE" w14:textId="25E6386F" w:rsidR="00C30C3C" w:rsidRDefault="00C30C3C">
      <w:pPr>
        <w:pStyle w:val="Standard"/>
      </w:pPr>
    </w:p>
    <w:p w14:paraId="0C0FC5C8" w14:textId="542339C2" w:rsidR="00C30C3C" w:rsidRDefault="00C30C3C">
      <w:pPr>
        <w:pStyle w:val="Standard"/>
      </w:pPr>
    </w:p>
    <w:p w14:paraId="666BB8D7" w14:textId="4D9F097D" w:rsidR="00C30C3C" w:rsidRDefault="00C30C3C">
      <w:pPr>
        <w:pStyle w:val="Standard"/>
      </w:pPr>
    </w:p>
    <w:p w14:paraId="693BE423" w14:textId="39AC09DA" w:rsidR="00C30C3C" w:rsidRDefault="00C30C3C">
      <w:pPr>
        <w:pStyle w:val="Standard"/>
      </w:pPr>
    </w:p>
    <w:p w14:paraId="1802C2B2" w14:textId="3CF3D99E" w:rsidR="00C30C3C" w:rsidRDefault="00C30C3C">
      <w:pPr>
        <w:pStyle w:val="Standard"/>
      </w:pPr>
    </w:p>
    <w:p w14:paraId="71F049A7" w14:textId="2A4681E8" w:rsidR="00C30C3C" w:rsidRDefault="00C30C3C">
      <w:pPr>
        <w:pStyle w:val="Standard"/>
      </w:pPr>
    </w:p>
    <w:p w14:paraId="6DF26D08" w14:textId="77777777" w:rsidR="00C30C3C" w:rsidRDefault="00C30C3C">
      <w:pPr>
        <w:pStyle w:val="Standard"/>
      </w:pPr>
    </w:p>
    <w:p w14:paraId="5CB6DFDF" w14:textId="77777777" w:rsidR="00E07FA4" w:rsidRDefault="00E07FA4">
      <w:pPr>
        <w:pStyle w:val="Standard"/>
      </w:pPr>
    </w:p>
    <w:p w14:paraId="4CA2F66B" w14:textId="77777777" w:rsidR="00C30C3C" w:rsidRDefault="004864A0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uz izvještaj o promjenama u vrijednosti i obujmu imovine i obveza</w:t>
      </w:r>
    </w:p>
    <w:p w14:paraId="593C43BD" w14:textId="22D432C7" w:rsidR="00DD2EFB" w:rsidRDefault="004864A0" w:rsidP="00C30C3C">
      <w:pPr>
        <w:pStyle w:val="Standard"/>
        <w:ind w:left="720"/>
        <w:rPr>
          <w:b/>
          <w:bCs/>
        </w:rPr>
      </w:pPr>
      <w:r>
        <w:rPr>
          <w:b/>
          <w:bCs/>
        </w:rPr>
        <w:t xml:space="preserve"> – Obrazac P-VRIO</w:t>
      </w:r>
    </w:p>
    <w:p w14:paraId="77FF7CD4" w14:textId="77777777" w:rsidR="00DD2EFB" w:rsidRDefault="00DD2EFB">
      <w:pPr>
        <w:pStyle w:val="Standard"/>
        <w:rPr>
          <w:b/>
          <w:bCs/>
        </w:rPr>
      </w:pPr>
    </w:p>
    <w:p w14:paraId="1F64C2AF" w14:textId="1BA2D6AA" w:rsidR="00DD2EFB" w:rsidRDefault="004864A0">
      <w:pPr>
        <w:pStyle w:val="Standard"/>
      </w:pPr>
      <w:r>
        <w:t>Bilješka uz AOP 020 – Tijekom 202</w:t>
      </w:r>
      <w:r w:rsidR="004A25A9">
        <w:t>1</w:t>
      </w:r>
      <w:r>
        <w:t xml:space="preserve">. godine </w:t>
      </w:r>
      <w:r w:rsidR="00670ECB">
        <w:t>došlo je do promjene u obujmu nefinancijske imovine</w:t>
      </w:r>
    </w:p>
    <w:p w14:paraId="5111E95C" w14:textId="6DAA6845" w:rsidR="00670ECB" w:rsidRDefault="00672A8D">
      <w:pPr>
        <w:pStyle w:val="Standard"/>
      </w:pPr>
      <w:r>
        <w:t>r</w:t>
      </w:r>
      <w:r w:rsidR="00670ECB">
        <w:t xml:space="preserve">ashodovanjem i </w:t>
      </w:r>
      <w:proofErr w:type="spellStart"/>
      <w:r w:rsidR="00670ECB">
        <w:t>isknjiženjem</w:t>
      </w:r>
      <w:proofErr w:type="spellEnd"/>
      <w:r w:rsidR="00670ECB">
        <w:t xml:space="preserve"> </w:t>
      </w:r>
      <w:proofErr w:type="spellStart"/>
      <w:r w:rsidR="00670ECB">
        <w:t>neproizvedene</w:t>
      </w:r>
      <w:proofErr w:type="spellEnd"/>
      <w:r w:rsidR="00670ECB">
        <w:t xml:space="preserve"> dugotrajne imovine koja je oštećena i neupotrebljiva.</w:t>
      </w:r>
    </w:p>
    <w:p w14:paraId="0298A7C6" w14:textId="77777777" w:rsidR="00E07FA4" w:rsidRDefault="00E07FA4">
      <w:pPr>
        <w:pStyle w:val="Standard"/>
      </w:pPr>
    </w:p>
    <w:p w14:paraId="1B25796C" w14:textId="77777777" w:rsidR="00E07FA4" w:rsidRDefault="00E07FA4">
      <w:pPr>
        <w:pStyle w:val="Standard"/>
      </w:pPr>
    </w:p>
    <w:p w14:paraId="017D0113" w14:textId="77777777" w:rsidR="00E07FA4" w:rsidRDefault="00E07FA4">
      <w:pPr>
        <w:pStyle w:val="Standard"/>
      </w:pPr>
    </w:p>
    <w:p w14:paraId="73FB8DEF" w14:textId="77777777" w:rsidR="00E07FA4" w:rsidRDefault="00E07FA4">
      <w:pPr>
        <w:pStyle w:val="Standard"/>
      </w:pPr>
    </w:p>
    <w:p w14:paraId="3632B440" w14:textId="339EF3CB" w:rsidR="00DD2EFB" w:rsidRDefault="004864A0">
      <w:pPr>
        <w:pStyle w:val="Standard"/>
      </w:pPr>
      <w:r>
        <w:t xml:space="preserve">U Zagrebu, </w:t>
      </w:r>
      <w:r w:rsidR="008B1A04">
        <w:t>31</w:t>
      </w:r>
      <w:r>
        <w:t>.01.202</w:t>
      </w:r>
      <w:r w:rsidR="008B1A04">
        <w:t>2</w:t>
      </w:r>
      <w:r>
        <w:t>.</w:t>
      </w:r>
    </w:p>
    <w:p w14:paraId="5239C009" w14:textId="77777777" w:rsidR="00DD2EFB" w:rsidRDefault="00DD2EFB">
      <w:pPr>
        <w:pStyle w:val="Standard"/>
      </w:pPr>
    </w:p>
    <w:p w14:paraId="0C88E95F" w14:textId="77777777" w:rsidR="00DD2EFB" w:rsidRDefault="004864A0">
      <w:pPr>
        <w:pStyle w:val="Standard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Odgovorna osoba:</w:t>
      </w:r>
    </w:p>
    <w:p w14:paraId="7B6D9BA7" w14:textId="77777777" w:rsidR="00DD2EFB" w:rsidRDefault="00DD2EFB">
      <w:pPr>
        <w:pStyle w:val="Standard"/>
      </w:pPr>
    </w:p>
    <w:p w14:paraId="36F95413" w14:textId="77777777" w:rsidR="00DD2EFB" w:rsidRDefault="004864A0">
      <w:pPr>
        <w:pStyle w:val="Standard"/>
      </w:pPr>
      <w:r>
        <w:tab/>
        <w:t xml:space="preserve">                                                                                     _____________________________</w:t>
      </w:r>
    </w:p>
    <w:p w14:paraId="161B20DD" w14:textId="4031BA83" w:rsidR="00DD2EFB" w:rsidRDefault="004864A0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         ravnatelj, Želimir Delač, dipl. ing. el.</w:t>
      </w:r>
    </w:p>
    <w:p w14:paraId="29C88E76" w14:textId="77777777" w:rsidR="00DD2EFB" w:rsidRDefault="004864A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E0E05FC" w14:textId="77777777" w:rsidR="00DD2EFB" w:rsidRDefault="00DD2EFB">
      <w:pPr>
        <w:pStyle w:val="Standard"/>
      </w:pPr>
    </w:p>
    <w:p w14:paraId="4B08421A" w14:textId="77777777" w:rsidR="00DD2EFB" w:rsidRDefault="00DD2EFB">
      <w:pPr>
        <w:pStyle w:val="Standard"/>
      </w:pPr>
    </w:p>
    <w:p w14:paraId="16DCCA12" w14:textId="77777777" w:rsidR="00DD2EFB" w:rsidRDefault="00DD2EFB">
      <w:pPr>
        <w:pStyle w:val="Standard"/>
      </w:pPr>
    </w:p>
    <w:p w14:paraId="2F40DA39" w14:textId="77777777" w:rsidR="00DD2EFB" w:rsidRDefault="00DD2EFB">
      <w:pPr>
        <w:pStyle w:val="Standard"/>
      </w:pPr>
    </w:p>
    <w:p w14:paraId="660093B2" w14:textId="77777777" w:rsidR="00DD2EFB" w:rsidRDefault="004864A0">
      <w:pPr>
        <w:pStyle w:val="Standard"/>
      </w:pPr>
      <w:r>
        <w:t xml:space="preserve">Osoba za kontaktiranje: Maja </w:t>
      </w:r>
      <w:proofErr w:type="spellStart"/>
      <w:r>
        <w:t>Doljan</w:t>
      </w:r>
      <w:proofErr w:type="spellEnd"/>
      <w:r>
        <w:t xml:space="preserve">, Balija d.o.o., voditelj računovodstva </w:t>
      </w:r>
      <w:r>
        <w:tab/>
      </w:r>
    </w:p>
    <w:p w14:paraId="3F2F0F72" w14:textId="77777777" w:rsidR="00DD2EFB" w:rsidRDefault="004864A0">
      <w:pPr>
        <w:pStyle w:val="Standard"/>
      </w:pPr>
      <w:r>
        <w:t>Telefon za kontakt: 01 6190505</w:t>
      </w:r>
      <w:bookmarkEnd w:id="1"/>
    </w:p>
    <w:sectPr w:rsidR="00DD2EF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5D53" w14:textId="77777777" w:rsidR="00EF7EDC" w:rsidRDefault="00EF7EDC">
      <w:r>
        <w:separator/>
      </w:r>
    </w:p>
  </w:endnote>
  <w:endnote w:type="continuationSeparator" w:id="0">
    <w:p w14:paraId="5C9C5D76" w14:textId="77777777" w:rsidR="00EF7EDC" w:rsidRDefault="00E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93A" w14:textId="77777777" w:rsidR="00EF7EDC" w:rsidRDefault="00EF7EDC">
      <w:r>
        <w:rPr>
          <w:color w:val="000000"/>
        </w:rPr>
        <w:separator/>
      </w:r>
    </w:p>
  </w:footnote>
  <w:footnote w:type="continuationSeparator" w:id="0">
    <w:p w14:paraId="5B9214AC" w14:textId="77777777" w:rsidR="00EF7EDC" w:rsidRDefault="00EF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265F"/>
    <w:multiLevelType w:val="hybridMultilevel"/>
    <w:tmpl w:val="1B8E5D5C"/>
    <w:lvl w:ilvl="0" w:tplc="2A520D86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B30"/>
    <w:multiLevelType w:val="multilevel"/>
    <w:tmpl w:val="47DE90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EA254B0"/>
    <w:multiLevelType w:val="multilevel"/>
    <w:tmpl w:val="37A8944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B"/>
    <w:rsid w:val="0000225B"/>
    <w:rsid w:val="00027E9E"/>
    <w:rsid w:val="00062626"/>
    <w:rsid w:val="000B49BB"/>
    <w:rsid w:val="000B67C7"/>
    <w:rsid w:val="000E3F50"/>
    <w:rsid w:val="00103C04"/>
    <w:rsid w:val="0012512D"/>
    <w:rsid w:val="00166814"/>
    <w:rsid w:val="00171A3F"/>
    <w:rsid w:val="001973FA"/>
    <w:rsid w:val="001A45DA"/>
    <w:rsid w:val="001B273F"/>
    <w:rsid w:val="001C7B71"/>
    <w:rsid w:val="001D02DA"/>
    <w:rsid w:val="001D0793"/>
    <w:rsid w:val="001D07CA"/>
    <w:rsid w:val="002106CA"/>
    <w:rsid w:val="00213544"/>
    <w:rsid w:val="0021528C"/>
    <w:rsid w:val="00217109"/>
    <w:rsid w:val="00246477"/>
    <w:rsid w:val="00275546"/>
    <w:rsid w:val="00283E41"/>
    <w:rsid w:val="002A3188"/>
    <w:rsid w:val="002B3BB6"/>
    <w:rsid w:val="002D42F4"/>
    <w:rsid w:val="00306826"/>
    <w:rsid w:val="003109DE"/>
    <w:rsid w:val="003222F0"/>
    <w:rsid w:val="003264B2"/>
    <w:rsid w:val="00326DD7"/>
    <w:rsid w:val="003735A6"/>
    <w:rsid w:val="0042229F"/>
    <w:rsid w:val="00441455"/>
    <w:rsid w:val="004427DA"/>
    <w:rsid w:val="00452B57"/>
    <w:rsid w:val="0045434C"/>
    <w:rsid w:val="004864A0"/>
    <w:rsid w:val="0049787E"/>
    <w:rsid w:val="004A25A9"/>
    <w:rsid w:val="004A6987"/>
    <w:rsid w:val="004E237B"/>
    <w:rsid w:val="004F53C3"/>
    <w:rsid w:val="004F56AB"/>
    <w:rsid w:val="004F7B4F"/>
    <w:rsid w:val="00525FE7"/>
    <w:rsid w:val="00535B6F"/>
    <w:rsid w:val="0059670B"/>
    <w:rsid w:val="005B0C19"/>
    <w:rsid w:val="005C1C98"/>
    <w:rsid w:val="005E4077"/>
    <w:rsid w:val="00610E80"/>
    <w:rsid w:val="00670ECB"/>
    <w:rsid w:val="00672A8D"/>
    <w:rsid w:val="00691114"/>
    <w:rsid w:val="00691B02"/>
    <w:rsid w:val="006B2FDE"/>
    <w:rsid w:val="006B707F"/>
    <w:rsid w:val="006D45DC"/>
    <w:rsid w:val="00712946"/>
    <w:rsid w:val="00716EC6"/>
    <w:rsid w:val="007470DC"/>
    <w:rsid w:val="007E4C3B"/>
    <w:rsid w:val="008164F9"/>
    <w:rsid w:val="00831A1F"/>
    <w:rsid w:val="008B1643"/>
    <w:rsid w:val="008B1A04"/>
    <w:rsid w:val="009206CE"/>
    <w:rsid w:val="00997065"/>
    <w:rsid w:val="009A46C8"/>
    <w:rsid w:val="009A7208"/>
    <w:rsid w:val="009E79FB"/>
    <w:rsid w:val="00A20ED0"/>
    <w:rsid w:val="00A62D29"/>
    <w:rsid w:val="00A97C49"/>
    <w:rsid w:val="00AB565D"/>
    <w:rsid w:val="00B07586"/>
    <w:rsid w:val="00B227A6"/>
    <w:rsid w:val="00B3668E"/>
    <w:rsid w:val="00B60530"/>
    <w:rsid w:val="00B76DEE"/>
    <w:rsid w:val="00BB074E"/>
    <w:rsid w:val="00BB5568"/>
    <w:rsid w:val="00BD65B4"/>
    <w:rsid w:val="00BF33B4"/>
    <w:rsid w:val="00C04CCD"/>
    <w:rsid w:val="00C30C3C"/>
    <w:rsid w:val="00C8409B"/>
    <w:rsid w:val="00CE7F2E"/>
    <w:rsid w:val="00D22118"/>
    <w:rsid w:val="00D5114A"/>
    <w:rsid w:val="00D5453A"/>
    <w:rsid w:val="00D54F4D"/>
    <w:rsid w:val="00D63816"/>
    <w:rsid w:val="00DA0C32"/>
    <w:rsid w:val="00DA4D88"/>
    <w:rsid w:val="00DD2EFB"/>
    <w:rsid w:val="00E051D5"/>
    <w:rsid w:val="00E07FA4"/>
    <w:rsid w:val="00E15CDA"/>
    <w:rsid w:val="00E351E6"/>
    <w:rsid w:val="00E35722"/>
    <w:rsid w:val="00E47DEC"/>
    <w:rsid w:val="00E9273F"/>
    <w:rsid w:val="00EC17CC"/>
    <w:rsid w:val="00EC711F"/>
    <w:rsid w:val="00EF3FF3"/>
    <w:rsid w:val="00EF54A0"/>
    <w:rsid w:val="00EF7EDC"/>
    <w:rsid w:val="00F034F5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BA4"/>
  <w15:docId w15:val="{B6122ED3-7924-4594-8A9F-36F2447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baloniaChar">
    <w:name w:val="Tekst balončića Char"/>
    <w:basedOn w:val="DefaultParagraphFont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Dzakula</dc:creator>
  <cp:lastModifiedBy>Kristina Dzakula</cp:lastModifiedBy>
  <cp:revision>4</cp:revision>
  <cp:lastPrinted>2022-01-31T11:30:00Z</cp:lastPrinted>
  <dcterms:created xsi:type="dcterms:W3CDTF">2022-01-31T11:05:00Z</dcterms:created>
  <dcterms:modified xsi:type="dcterms:W3CDTF">2022-01-31T11:37:00Z</dcterms:modified>
</cp:coreProperties>
</file>