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9EC2" w14:textId="77777777" w:rsidR="007A7E45" w:rsidRPr="00FE4B89" w:rsidRDefault="007A7E45" w:rsidP="00FE4B89"/>
    <w:p w14:paraId="6CD5583C" w14:textId="77777777" w:rsidR="004834A0" w:rsidRDefault="00000000">
      <w:pPr>
        <w:pStyle w:val="Heading1"/>
      </w:pPr>
      <w:r>
        <w:t>OBRAZLOŽENJE OPĆEG DIJELA FINANCIJSKOG PLANA</w:t>
      </w:r>
    </w:p>
    <w:p w14:paraId="4FA6D4E1" w14:textId="77777777" w:rsidR="004834A0" w:rsidRDefault="00000000">
      <w:pPr>
        <w:pStyle w:val="Heading2"/>
      </w:pPr>
      <w:r>
        <w:t>45228 Agencija za sigurnost željezničkog prometa</w:t>
      </w:r>
    </w:p>
    <w:p w14:paraId="4E41A8E9" w14:textId="77777777" w:rsidR="004834A0" w:rsidRDefault="00000000">
      <w:r>
        <w:t xml:space="preserve">Agenciji za sigurnost željezničkog prometa (u daljnjem tekstu: Agencija), sukladno članku 5. Zakonu o sigurnosti i interoperabilnosti željezničkog sustava (''Narodne novine'', br. 63/2020; u daljnjem tekstu: Zakon), povjerena je zadaća reguliranja i nadzora sigurnosti željezničkog sustava Republike Hrvatske. Člankom 8. Zakona definirane su najznačajnije zadaće Agencije: izdavanje potvrda i uvjerenja o sigurnosti za željezničke prijevoznike i upravitelje infrastrukture, odobrenja za puštanje u uporabu strukturnih podsustava/infrastrukturnih podsustava i stavljanje vozila na tržište i odobrenja za tip vozila, odobrenja probnih pružnih dionica, odobrenja za probni rad prometno-upravljačkog i signalno-sigurnosnog podsustava, ovlaštenja subjektu nadležnom za održavanje, izvješća o procjeni sigurnosti kao tijelo za procjenu rizika, dozvola za strojovođe te ovlaštenja za centre za osposobljavanje strojovođa i ispitivače.   </w:t>
      </w:r>
    </w:p>
    <w:p w14:paraId="47F9BF12" w14:textId="77777777" w:rsidR="004834A0" w:rsidRDefault="00000000">
      <w:r>
        <w:t xml:space="preserve"> </w:t>
      </w:r>
    </w:p>
    <w:p w14:paraId="5323F9DE" w14:textId="77777777" w:rsidR="004834A0" w:rsidRDefault="00000000">
      <w:r>
        <w:t xml:space="preserve">PRIHODI I PRIMICI   </w:t>
      </w:r>
    </w:p>
    <w:p w14:paraId="26359BCE" w14:textId="77777777" w:rsidR="004834A0" w:rsidRDefault="00000000">
      <w:r>
        <w:t xml:space="preserve">   </w:t>
      </w:r>
    </w:p>
    <w:p w14:paraId="71A705B9" w14:textId="77777777" w:rsidR="004834A0" w:rsidRDefault="00000000">
      <w:r>
        <w:t xml:space="preserve">Agencija u Financijskom planu za 2026. godinu planira prihode u iznosu od 1.442.900 eura. Od toga su Prihodi iz proračuna 1.441.900 eura (Izvor 11 Opći prihodi i primici u iznosu od 1.399.400 eur i Izvor 51011 Programi Unije - predfinanciranje iz izvora 11 Opći prihodi i primici u iznosu od 42.500 eur) te Prihodi iz inozemstva (darovnice) i od subjekata unutar općeg proračuna 1.000 eura (Izvor 51000 Programi Unije - raspoloživ predujam u iznosu 1.000 eur). </w:t>
      </w:r>
    </w:p>
    <w:p w14:paraId="2F938CE2" w14:textId="77777777" w:rsidR="004834A0" w:rsidRDefault="00000000">
      <w:r>
        <w:t xml:space="preserve"> </w:t>
      </w:r>
    </w:p>
    <w:p w14:paraId="4A908B8C" w14:textId="77777777" w:rsidR="004834A0" w:rsidRDefault="00000000">
      <w:r>
        <w:t xml:space="preserve"> </w:t>
      </w:r>
    </w:p>
    <w:p w14:paraId="264664B6" w14:textId="77777777" w:rsidR="004834A0" w:rsidRDefault="00000000">
      <w:r>
        <w:t xml:space="preserve">U projekcijama Financijskog plana Agencije za 2027. godini planirani ukupni prihodi su 1.442.400 eura na način da su prihodi iz izvora 11 Opći prihodi i primici 1.398.900 eur, Izvor 51011 Programi Unije - predfinanciranje iz izvora 11 Opći prihodi i primici 42.500 eur te Izvor  51000 Programi Unije - raspoloživ predujam 1.000 eura. </w:t>
      </w:r>
    </w:p>
    <w:p w14:paraId="75924E57" w14:textId="77777777" w:rsidR="004834A0" w:rsidRDefault="00000000">
      <w:r>
        <w:t xml:space="preserve">U projekcijama Financijskog plana Agencije za 2028. godini planirani ukupni prihodi su 1.455.200 eura na način da su prihodi iz izvora 11 Opći prihodi i primici 1.411.700 eur, Izvor 51011 Programi Unije - predfinanciranje iz izvora 11 Opći prihodi i primici 42.500 eur te Izvor  51000 Programi Unije - raspoloživ predujam 1.000 eura. </w:t>
      </w:r>
    </w:p>
    <w:p w14:paraId="08D4509A" w14:textId="77777777" w:rsidR="004834A0" w:rsidRDefault="00000000">
      <w:r>
        <w:t xml:space="preserve"> </w:t>
      </w:r>
    </w:p>
    <w:p w14:paraId="5424D420" w14:textId="77777777" w:rsidR="004834A0" w:rsidRDefault="00000000">
      <w:r>
        <w:t xml:space="preserve">RASHODI I IZDACI   </w:t>
      </w:r>
    </w:p>
    <w:p w14:paraId="23EAA199" w14:textId="77777777" w:rsidR="004834A0" w:rsidRDefault="00000000">
      <w:r>
        <w:t xml:space="preserve">U razdoblju 2026. – 2028. Agencija planira ukupne rashode u iznosima od:   </w:t>
      </w:r>
    </w:p>
    <w:p w14:paraId="7B46397A" w14:textId="77777777" w:rsidR="004834A0" w:rsidRDefault="00000000">
      <w:r>
        <w:t xml:space="preserve">1.442.900 EUR za 2026. godinu,    </w:t>
      </w:r>
    </w:p>
    <w:p w14:paraId="501807CA" w14:textId="77777777" w:rsidR="004834A0" w:rsidRDefault="00000000">
      <w:r>
        <w:t xml:space="preserve">1.442.400 EUR za 2027. godinu i   </w:t>
      </w:r>
    </w:p>
    <w:p w14:paraId="44EF9DA2" w14:textId="77777777" w:rsidR="004834A0" w:rsidRDefault="00000000">
      <w:r>
        <w:t xml:space="preserve">1.455.200 EUR za 2028. godinu.   </w:t>
      </w:r>
    </w:p>
    <w:p w14:paraId="377F341B" w14:textId="77777777" w:rsidR="004834A0" w:rsidRDefault="00000000">
      <w:r>
        <w:t xml:space="preserve"> </w:t>
      </w:r>
    </w:p>
    <w:p w14:paraId="25FECB00" w14:textId="77777777" w:rsidR="004834A0" w:rsidRDefault="00000000">
      <w:r>
        <w:t xml:space="preserve">Rashodi se planiraju za pokrivanje troškova aktivnosti A840001 Administracija i upravljanje Agencije za sigurnost željezničkog prometa i projekta K840002 Informatizacija.   </w:t>
      </w:r>
    </w:p>
    <w:p w14:paraId="3ABE74A6" w14:textId="77777777" w:rsidR="004834A0" w:rsidRDefault="00000000">
      <w:r>
        <w:t xml:space="preserve">Aktivnost A840001 Administracija i upravljanje Agencije za sigurnost željezničkog prometa sadrži najznačajnije kategorije rashoda Agencije u iznosu 1.416.600 EUR što čini 98,18 % ukupno planiranih rashoda 2026. godine. Pokriva troškove rada zaposlenika, njihova službena putovanja, nabavu nefinancijske imovine (oprema za rad) i druge materijalne rashode (uredski materijal, troškovi zakupa radnog prostora i vezani režijski troškovi, troškovi naknade za rad članova Upravnog vijeća). U 2027. rashodi su planirani u iznosu od 1.417.300 EUR i u 2028. u iznosu od 1.420.400 EUR u skladu s materijalnim pravima zaposlenika i planirane cijene zakupa radnog prostora Agencije i vezanih režijskih troškova.   </w:t>
      </w:r>
    </w:p>
    <w:p w14:paraId="378DE03E" w14:textId="77777777" w:rsidR="004834A0" w:rsidRDefault="00000000">
      <w:r>
        <w:t xml:space="preserve">Projektom K840002 Informatizacija planiraju se rashodi za osiguranje podrška IT sustavu Agencije (ulaganje, održavanje i poboljšanje). U 2026. godini planirani ukupni rashodi su 26.300 EUR. Koristit će se za pokrivanje troškova korištenje softverske aplikacije za izradu kartica strojovođa u iznosu od 2.550 EUR, zakup licenci za korištenje programa za centralizirano upravljanje dokumentacijom i elektroničko upravno poslovanje  u iznosu od </w:t>
      </w:r>
      <w:r>
        <w:lastRenderedPageBreak/>
        <w:t xml:space="preserve">16.950 EUR, nabavku korisničkih licenci u iznosu od 1.700 EUR, a ostatak za tekuće troškove održavanja i ostalih računalnih usluga.   </w:t>
      </w:r>
    </w:p>
    <w:p w14:paraId="58E07F7E" w14:textId="664D51CD" w:rsidR="004834A0" w:rsidRDefault="00000000">
      <w:r>
        <w:t>Za 202</w:t>
      </w:r>
      <w:r w:rsidR="00D66A0C">
        <w:t>7</w:t>
      </w:r>
      <w:r>
        <w:t xml:space="preserve">. godini rashodi su planirani na razini 25.100 EUR, a za 2028. u iznosu od 34.800 EUR. Planirani rashodi koristit će se za pokrivanje tekućih troškova zakupa licenci i prava korištenja aplikativnih rješenja te nabavku opreme po potrebi/dotrajalosti.  </w:t>
      </w:r>
    </w:p>
    <w:p w14:paraId="3787DDDD" w14:textId="77777777" w:rsidR="004834A0" w:rsidRDefault="00000000">
      <w:r>
        <w:t xml:space="preserve"> </w:t>
      </w:r>
    </w:p>
    <w:p w14:paraId="72573FFF" w14:textId="77777777" w:rsidR="004834A0" w:rsidRDefault="00000000">
      <w:r>
        <w:t>UKUPNE I DOSPJELE OBVEZE</w:t>
      </w:r>
      <w:r>
        <w:tab/>
        <w:t xml:space="preserve">   </w:t>
      </w:r>
    </w:p>
    <w:p w14:paraId="183F1C3D" w14:textId="77777777" w:rsidR="004834A0" w:rsidRDefault="00000000">
      <w:r>
        <w:t xml:space="preserve">   </w:t>
      </w:r>
    </w:p>
    <w:p w14:paraId="482B1AB7" w14:textId="77777777" w:rsidR="004834A0" w:rsidRDefault="00000000">
      <w:r>
        <w:t xml:space="preserve">                       Stanje obveza  na dan 31.12.2024.</w:t>
      </w:r>
      <w:r>
        <w:tab/>
        <w:t xml:space="preserve">               Stanje obveza na dan 30.06.2025.   </w:t>
      </w:r>
    </w:p>
    <w:p w14:paraId="38ACAE0E" w14:textId="77777777" w:rsidR="004834A0" w:rsidRDefault="00000000">
      <w:r>
        <w:t>Ukupne obveze</w:t>
      </w:r>
      <w:r>
        <w:tab/>
        <w:t xml:space="preserve">        93.728,25  EUR</w:t>
      </w:r>
      <w:r>
        <w:tab/>
        <w:t xml:space="preserve">                                          98.425,43 EUR   </w:t>
      </w:r>
    </w:p>
    <w:p w14:paraId="539E252D" w14:textId="77777777" w:rsidR="004834A0" w:rsidRDefault="00000000">
      <w:r>
        <w:t>Dospjele obveze</w:t>
      </w:r>
      <w:r>
        <w:tab/>
        <w:t>*357,50  EUR</w:t>
      </w:r>
      <w:r>
        <w:tab/>
        <w:t xml:space="preserve">                                            **1.161,65 EUR  </w:t>
      </w:r>
    </w:p>
    <w:p w14:paraId="7505243C" w14:textId="77777777" w:rsidR="004834A0" w:rsidRDefault="00000000">
      <w:r>
        <w:t xml:space="preserve"> </w:t>
      </w:r>
    </w:p>
    <w:p w14:paraId="614BF96C" w14:textId="77777777" w:rsidR="004834A0" w:rsidRDefault="00000000">
      <w:r>
        <w:t xml:space="preserve">* Iznosi 357,50 eur te se odnosi na obveze prema dobavljaču. Dobavljač je ispostavio račun u siječnju 2025. godine te je greškom naznačio dospijeće plaćanja 16.12.2024. Račun je zaprimljen u siječnju te nikako nije mogao biti podmiren u roku dospijeća. Usluga se odnosi na prosinac 2024. godine te je evidentirana u razdoblju na koje se odnosi, a obveza je podmirena odmah po primitku računa. </w:t>
      </w:r>
    </w:p>
    <w:p w14:paraId="3AAC862B" w14:textId="77777777" w:rsidR="004834A0" w:rsidRDefault="00000000">
      <w:r>
        <w:t>**Iznosi 1.161,65 eur te se odnosi na račune dobavljača koji su zbog tehničko operativnih poteškoća podmireni sa zakašnjenjem početkom srpnja.</w:t>
      </w:r>
    </w:p>
    <w:p w14:paraId="4DFBD2EF" w14:textId="77777777" w:rsidR="004C3917" w:rsidRPr="004C3917" w:rsidRDefault="004C3917" w:rsidP="004C3917"/>
    <w:p w14:paraId="06D7DAAF" w14:textId="77777777" w:rsidR="004C3917" w:rsidRPr="004C3917" w:rsidRDefault="004C3917" w:rsidP="004C3917"/>
    <w:p w14:paraId="22B89148" w14:textId="77777777" w:rsidR="004C3917" w:rsidRPr="004C3917" w:rsidRDefault="004C3917" w:rsidP="004C3917"/>
    <w:p w14:paraId="27C19187" w14:textId="77777777" w:rsidR="004C3917" w:rsidRDefault="004C3917" w:rsidP="004C3917"/>
    <w:p w14:paraId="2CD3F10B" w14:textId="6F644516" w:rsidR="004C3917" w:rsidRDefault="004C3917" w:rsidP="004C3917">
      <w:pPr>
        <w:tabs>
          <w:tab w:val="left" w:pos="6645"/>
        </w:tabs>
      </w:pPr>
      <w:r>
        <w:tab/>
        <w:t>v.d. RAVNATELJA</w:t>
      </w:r>
    </w:p>
    <w:p w14:paraId="51B12765" w14:textId="77777777" w:rsidR="004C3917" w:rsidRDefault="004C3917" w:rsidP="004C3917"/>
    <w:p w14:paraId="23C150A1" w14:textId="33AD4B18" w:rsidR="004C3917" w:rsidRPr="004C3917" w:rsidRDefault="004C3917" w:rsidP="004C3917">
      <w:pPr>
        <w:tabs>
          <w:tab w:val="left" w:pos="6405"/>
        </w:tabs>
      </w:pPr>
      <w:r>
        <w:tab/>
        <w:t>Želimir Delač, dipl. ing .el.</w:t>
      </w:r>
    </w:p>
    <w:sectPr w:rsidR="004C3917" w:rsidRPr="004C3917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D42A2" w14:textId="77777777" w:rsidR="002A3957" w:rsidRDefault="002A3957" w:rsidP="00F352E6">
      <w:r>
        <w:separator/>
      </w:r>
    </w:p>
  </w:endnote>
  <w:endnote w:type="continuationSeparator" w:id="0">
    <w:p w14:paraId="13FA4D7C" w14:textId="77777777" w:rsidR="002A3957" w:rsidRDefault="002A3957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CEA3" w14:textId="77777777" w:rsidR="00B912CF" w:rsidRPr="00D769ED" w:rsidRDefault="00B912CF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3D47" w14:textId="77777777" w:rsidR="002A3957" w:rsidRDefault="002A3957" w:rsidP="00F352E6">
      <w:r>
        <w:separator/>
      </w:r>
    </w:p>
  </w:footnote>
  <w:footnote w:type="continuationSeparator" w:id="0">
    <w:p w14:paraId="4D4566BB" w14:textId="77777777" w:rsidR="002A3957" w:rsidRDefault="002A3957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D932" w14:textId="77777777" w:rsidR="00B912CF" w:rsidRDefault="00B912CF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2A3957"/>
    <w:rsid w:val="00311AA1"/>
    <w:rsid w:val="00382225"/>
    <w:rsid w:val="00386953"/>
    <w:rsid w:val="00463609"/>
    <w:rsid w:val="00480C76"/>
    <w:rsid w:val="004834A0"/>
    <w:rsid w:val="004C01B5"/>
    <w:rsid w:val="004C3917"/>
    <w:rsid w:val="0052289C"/>
    <w:rsid w:val="00524A66"/>
    <w:rsid w:val="00526A7C"/>
    <w:rsid w:val="005A70C0"/>
    <w:rsid w:val="005B6ED7"/>
    <w:rsid w:val="005D49B2"/>
    <w:rsid w:val="005E2D85"/>
    <w:rsid w:val="005E5187"/>
    <w:rsid w:val="00633683"/>
    <w:rsid w:val="00674346"/>
    <w:rsid w:val="006B3283"/>
    <w:rsid w:val="007665AA"/>
    <w:rsid w:val="007A7E45"/>
    <w:rsid w:val="007B6008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62FF5"/>
    <w:rsid w:val="009660AE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912CF"/>
    <w:rsid w:val="00BA487B"/>
    <w:rsid w:val="00BA7BD1"/>
    <w:rsid w:val="00BB642B"/>
    <w:rsid w:val="00BF02E9"/>
    <w:rsid w:val="00BF3F24"/>
    <w:rsid w:val="00C7470A"/>
    <w:rsid w:val="00D66A0C"/>
    <w:rsid w:val="00DE2416"/>
    <w:rsid w:val="00E42E87"/>
    <w:rsid w:val="00E62EF0"/>
    <w:rsid w:val="00ED0E3A"/>
    <w:rsid w:val="00ED5AB0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E9F37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Kristina Dzakula</cp:lastModifiedBy>
  <cp:revision>4</cp:revision>
  <dcterms:created xsi:type="dcterms:W3CDTF">2025-10-28T08:30:00Z</dcterms:created>
  <dcterms:modified xsi:type="dcterms:W3CDTF">2025-11-11T07:02:00Z</dcterms:modified>
</cp:coreProperties>
</file>