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AEE74" w14:textId="77777777" w:rsidR="007A7E45" w:rsidRPr="00FE4B89" w:rsidRDefault="007A7E45" w:rsidP="00FE4B89"/>
    <w:p w14:paraId="4C4A9A4D" w14:textId="77777777" w:rsidR="00203698" w:rsidRDefault="00000000">
      <w:pPr>
        <w:pStyle w:val="Heading3"/>
      </w:pPr>
      <w:r>
        <w:rPr>
          <w:rFonts w:cs="Times New Roman"/>
        </w:rPr>
        <w:t>45228 Agencija za sigurnost željezničkog prometa</w:t>
      </w:r>
    </w:p>
    <w:p w14:paraId="650E64B8" w14:textId="77777777" w:rsidR="00203698" w:rsidRDefault="00000000">
      <w:pPr>
        <w:pStyle w:val="Normal5"/>
      </w:pPr>
      <w:r>
        <w:t>Agencija za sigurnost željezničkog prometa je pravna osoba s javnim ovlastima sa sjedištem u Zagrebu. Osnivač Agencije je Republika Hrvatska. Agencija je samostalna u obavljanju poslova iz svojeg djelokruga, a za svoj rad odgovara Vladi Republike Hrvatske. Djelatnost Agencije obuhvaća poslove vezane uz potvrde i uvjerenja o sigurnosti, odobrenja, dozvola i drugih ovlaštenja, te nadzor i inspekciju u cilju osiguravanja kontinuiranog udovoljavanja zahtjevima za sigurnost željezničkog sustava, vođenje propisanih registara, te obavljanje drugih poslova utvrđenih Zakonom o sigurnosti i interoperabilnosti željezničkog sustava i izravno primjenjivim propisima Europske unije.</w:t>
      </w:r>
    </w:p>
    <w:tbl>
      <w:tblPr>
        <w:tblStyle w:val="StilTablice"/>
        <w:tblW w:w="10206" w:type="dxa"/>
        <w:jc w:val="center"/>
        <w:tblLook w:val="04A0" w:firstRow="1" w:lastRow="0" w:firstColumn="1" w:lastColumn="0" w:noHBand="0" w:noVBand="1"/>
      </w:tblPr>
      <w:tblGrid>
        <w:gridCol w:w="1485"/>
        <w:gridCol w:w="1551"/>
        <w:gridCol w:w="1550"/>
        <w:gridCol w:w="1550"/>
        <w:gridCol w:w="1550"/>
        <w:gridCol w:w="1550"/>
        <w:gridCol w:w="970"/>
      </w:tblGrid>
      <w:tr w:rsidR="00203698" w14:paraId="09FCDE02" w14:textId="77777777">
        <w:trPr>
          <w:jc w:val="center"/>
        </w:trPr>
        <w:tc>
          <w:tcPr>
            <w:tcW w:w="1530" w:type="dxa"/>
            <w:shd w:val="clear" w:color="auto" w:fill="B5C0D8"/>
          </w:tcPr>
          <w:p w14:paraId="743AE47F" w14:textId="77777777" w:rsidR="00203698" w:rsidRDefault="00203698">
            <w:pPr>
              <w:pStyle w:val="CellHeader"/>
            </w:pPr>
          </w:p>
        </w:tc>
        <w:tc>
          <w:tcPr>
            <w:tcW w:w="1632" w:type="dxa"/>
            <w:shd w:val="clear" w:color="auto" w:fill="B5C0D8"/>
          </w:tcPr>
          <w:p w14:paraId="125CCD6E" w14:textId="77777777" w:rsidR="00203698" w:rsidRDefault="00000000">
            <w:pPr>
              <w:pStyle w:val="CellHeader"/>
            </w:pPr>
            <w:r>
              <w:rPr>
                <w:rFonts w:cs="Times New Roman"/>
              </w:rPr>
              <w:t>Izvršenje 2024. (eur)</w:t>
            </w:r>
          </w:p>
        </w:tc>
        <w:tc>
          <w:tcPr>
            <w:tcW w:w="1632" w:type="dxa"/>
            <w:shd w:val="clear" w:color="auto" w:fill="B5C0D8"/>
          </w:tcPr>
          <w:p w14:paraId="0D41C104" w14:textId="77777777" w:rsidR="00203698" w:rsidRDefault="00000000">
            <w:pPr>
              <w:pStyle w:val="CellHeader"/>
            </w:pPr>
            <w:r>
              <w:rPr>
                <w:rFonts w:cs="Times New Roman"/>
              </w:rPr>
              <w:t>Plan 2025. (eur)</w:t>
            </w:r>
          </w:p>
        </w:tc>
        <w:tc>
          <w:tcPr>
            <w:tcW w:w="1632" w:type="dxa"/>
            <w:shd w:val="clear" w:color="auto" w:fill="B5C0D8"/>
          </w:tcPr>
          <w:p w14:paraId="2E9677F1" w14:textId="77777777" w:rsidR="00203698" w:rsidRDefault="00000000">
            <w:pPr>
              <w:pStyle w:val="CellHeader"/>
            </w:pPr>
            <w:r>
              <w:rPr>
                <w:rFonts w:cs="Times New Roman"/>
              </w:rPr>
              <w:t>Plan 2026. (eur)</w:t>
            </w:r>
          </w:p>
        </w:tc>
        <w:tc>
          <w:tcPr>
            <w:tcW w:w="1632" w:type="dxa"/>
            <w:shd w:val="clear" w:color="auto" w:fill="B5C0D8"/>
          </w:tcPr>
          <w:p w14:paraId="5D8428F3" w14:textId="77777777" w:rsidR="00203698" w:rsidRDefault="00000000">
            <w:pPr>
              <w:pStyle w:val="CellHeader"/>
            </w:pPr>
            <w:r>
              <w:rPr>
                <w:rFonts w:cs="Times New Roman"/>
              </w:rPr>
              <w:t>Plan 2027. (eur)</w:t>
            </w:r>
          </w:p>
        </w:tc>
        <w:tc>
          <w:tcPr>
            <w:tcW w:w="1632" w:type="dxa"/>
            <w:shd w:val="clear" w:color="auto" w:fill="B5C0D8"/>
          </w:tcPr>
          <w:p w14:paraId="3223C84C" w14:textId="77777777" w:rsidR="00203698" w:rsidRDefault="00000000">
            <w:pPr>
              <w:pStyle w:val="CellHeader"/>
            </w:pPr>
            <w:r>
              <w:rPr>
                <w:rFonts w:cs="Times New Roman"/>
              </w:rPr>
              <w:t>Plan 2028. (eur)</w:t>
            </w:r>
          </w:p>
        </w:tc>
        <w:tc>
          <w:tcPr>
            <w:tcW w:w="510" w:type="dxa"/>
            <w:shd w:val="clear" w:color="auto" w:fill="B5C0D8"/>
          </w:tcPr>
          <w:p w14:paraId="21C7D32B" w14:textId="77777777" w:rsidR="00203698" w:rsidRDefault="00000000">
            <w:pPr>
              <w:pStyle w:val="CellHeader"/>
            </w:pPr>
            <w:r>
              <w:rPr>
                <w:rFonts w:cs="Times New Roman"/>
              </w:rPr>
              <w:t>Indeks 2026/2025</w:t>
            </w:r>
          </w:p>
        </w:tc>
      </w:tr>
      <w:tr w:rsidR="00203698" w14:paraId="5BE1AFFB" w14:textId="77777777">
        <w:trPr>
          <w:jc w:val="center"/>
        </w:trPr>
        <w:tc>
          <w:tcPr>
            <w:tcW w:w="1530" w:type="dxa"/>
          </w:tcPr>
          <w:p w14:paraId="44DDADD8" w14:textId="77777777" w:rsidR="00203698" w:rsidRDefault="00000000">
            <w:pPr>
              <w:pStyle w:val="CellColumn"/>
            </w:pPr>
            <w:r>
              <w:rPr>
                <w:rFonts w:cs="Times New Roman"/>
              </w:rPr>
              <w:t>45228-Agencija za sigurnost željezničkog prometa</w:t>
            </w:r>
          </w:p>
        </w:tc>
        <w:tc>
          <w:tcPr>
            <w:tcW w:w="1632" w:type="dxa"/>
          </w:tcPr>
          <w:p w14:paraId="07631D60" w14:textId="77777777" w:rsidR="00203698" w:rsidRDefault="00000000">
            <w:pPr>
              <w:pStyle w:val="CellColumn"/>
            </w:pPr>
            <w:r>
              <w:rPr>
                <w:rFonts w:cs="Times New Roman"/>
              </w:rPr>
              <w:t>1.187.645</w:t>
            </w:r>
          </w:p>
        </w:tc>
        <w:tc>
          <w:tcPr>
            <w:tcW w:w="1632" w:type="dxa"/>
          </w:tcPr>
          <w:p w14:paraId="006AA08E" w14:textId="77777777" w:rsidR="00203698" w:rsidRDefault="00000000">
            <w:pPr>
              <w:pStyle w:val="CellColumn"/>
            </w:pPr>
            <w:r>
              <w:rPr>
                <w:rFonts w:cs="Times New Roman"/>
              </w:rPr>
              <w:t>1.423.329</w:t>
            </w:r>
          </w:p>
        </w:tc>
        <w:tc>
          <w:tcPr>
            <w:tcW w:w="1632" w:type="dxa"/>
          </w:tcPr>
          <w:p w14:paraId="159E0F4D" w14:textId="77777777" w:rsidR="00203698" w:rsidRDefault="00000000">
            <w:pPr>
              <w:pStyle w:val="CellColumn"/>
            </w:pPr>
            <w:r>
              <w:rPr>
                <w:rFonts w:cs="Times New Roman"/>
              </w:rPr>
              <w:t>1.442.900</w:t>
            </w:r>
          </w:p>
        </w:tc>
        <w:tc>
          <w:tcPr>
            <w:tcW w:w="1632" w:type="dxa"/>
          </w:tcPr>
          <w:p w14:paraId="6BBDBACA" w14:textId="77777777" w:rsidR="00203698" w:rsidRDefault="00000000">
            <w:pPr>
              <w:pStyle w:val="CellColumn"/>
            </w:pPr>
            <w:r>
              <w:rPr>
                <w:rFonts w:cs="Times New Roman"/>
              </w:rPr>
              <w:t>1.442.400</w:t>
            </w:r>
          </w:p>
        </w:tc>
        <w:tc>
          <w:tcPr>
            <w:tcW w:w="1632" w:type="dxa"/>
          </w:tcPr>
          <w:p w14:paraId="68B3B71A" w14:textId="77777777" w:rsidR="00203698" w:rsidRDefault="00000000">
            <w:pPr>
              <w:pStyle w:val="CellColumn"/>
            </w:pPr>
            <w:r>
              <w:rPr>
                <w:rFonts w:cs="Times New Roman"/>
              </w:rPr>
              <w:t>1.455.200</w:t>
            </w:r>
          </w:p>
        </w:tc>
        <w:tc>
          <w:tcPr>
            <w:tcW w:w="510" w:type="dxa"/>
          </w:tcPr>
          <w:p w14:paraId="51844F43" w14:textId="77777777" w:rsidR="00203698" w:rsidRDefault="00000000">
            <w:pPr>
              <w:pStyle w:val="CellColumn"/>
            </w:pPr>
            <w:r>
              <w:rPr>
                <w:rFonts w:cs="Times New Roman"/>
              </w:rPr>
              <w:t>101,4</w:t>
            </w:r>
          </w:p>
        </w:tc>
      </w:tr>
    </w:tbl>
    <w:p w14:paraId="7C290693" w14:textId="77777777" w:rsidR="00203698" w:rsidRDefault="00203698">
      <w:pPr>
        <w:jc w:val="left"/>
      </w:pPr>
    </w:p>
    <w:p w14:paraId="4CEE1FCD" w14:textId="77777777" w:rsidR="00203698" w:rsidRDefault="00000000">
      <w:pPr>
        <w:pStyle w:val="Heading5"/>
      </w:pPr>
      <w:r>
        <w:t>3118 RAZVOJ I SIGURNOST KOPNENOG PROMETA</w:t>
      </w:r>
    </w:p>
    <w:tbl>
      <w:tblPr>
        <w:tblStyle w:val="StilTablice"/>
        <w:tblW w:w="10206" w:type="dxa"/>
        <w:jc w:val="center"/>
        <w:tblLook w:val="04A0" w:firstRow="1" w:lastRow="0" w:firstColumn="1" w:lastColumn="0" w:noHBand="0" w:noVBand="1"/>
      </w:tblPr>
      <w:tblGrid>
        <w:gridCol w:w="1496"/>
        <w:gridCol w:w="1548"/>
        <w:gridCol w:w="1548"/>
        <w:gridCol w:w="1548"/>
        <w:gridCol w:w="1548"/>
        <w:gridCol w:w="1548"/>
        <w:gridCol w:w="970"/>
      </w:tblGrid>
      <w:tr w:rsidR="00203698" w14:paraId="035F0BBE" w14:textId="77777777">
        <w:trPr>
          <w:jc w:val="center"/>
        </w:trPr>
        <w:tc>
          <w:tcPr>
            <w:tcW w:w="1530" w:type="dxa"/>
            <w:shd w:val="clear" w:color="auto" w:fill="B5C0D8"/>
          </w:tcPr>
          <w:p w14:paraId="6646D29D" w14:textId="77777777" w:rsidR="00203698" w:rsidRDefault="00203698">
            <w:pPr>
              <w:pStyle w:val="CellHeader"/>
            </w:pPr>
          </w:p>
        </w:tc>
        <w:tc>
          <w:tcPr>
            <w:tcW w:w="1632" w:type="dxa"/>
            <w:shd w:val="clear" w:color="auto" w:fill="B5C0D8"/>
          </w:tcPr>
          <w:p w14:paraId="460AB464" w14:textId="77777777" w:rsidR="00203698" w:rsidRDefault="00000000">
            <w:pPr>
              <w:pStyle w:val="CellHeader"/>
            </w:pPr>
            <w:r>
              <w:rPr>
                <w:rFonts w:cs="Times New Roman"/>
              </w:rPr>
              <w:t>Izvršenje 2024. (eur)</w:t>
            </w:r>
          </w:p>
        </w:tc>
        <w:tc>
          <w:tcPr>
            <w:tcW w:w="1632" w:type="dxa"/>
            <w:shd w:val="clear" w:color="auto" w:fill="B5C0D8"/>
          </w:tcPr>
          <w:p w14:paraId="23B734A0" w14:textId="77777777" w:rsidR="00203698" w:rsidRDefault="00000000">
            <w:pPr>
              <w:pStyle w:val="CellHeader"/>
            </w:pPr>
            <w:r>
              <w:rPr>
                <w:rFonts w:cs="Times New Roman"/>
              </w:rPr>
              <w:t>Plan 2025. (eur)</w:t>
            </w:r>
          </w:p>
        </w:tc>
        <w:tc>
          <w:tcPr>
            <w:tcW w:w="1632" w:type="dxa"/>
            <w:shd w:val="clear" w:color="auto" w:fill="B5C0D8"/>
          </w:tcPr>
          <w:p w14:paraId="466A9EDD" w14:textId="77777777" w:rsidR="00203698" w:rsidRDefault="00000000">
            <w:pPr>
              <w:pStyle w:val="CellHeader"/>
            </w:pPr>
            <w:r>
              <w:rPr>
                <w:rFonts w:cs="Times New Roman"/>
              </w:rPr>
              <w:t>Plan 2026. (eur)</w:t>
            </w:r>
          </w:p>
        </w:tc>
        <w:tc>
          <w:tcPr>
            <w:tcW w:w="1632" w:type="dxa"/>
            <w:shd w:val="clear" w:color="auto" w:fill="B5C0D8"/>
          </w:tcPr>
          <w:p w14:paraId="035D5BBB" w14:textId="77777777" w:rsidR="00203698" w:rsidRDefault="00000000">
            <w:pPr>
              <w:pStyle w:val="CellHeader"/>
            </w:pPr>
            <w:r>
              <w:rPr>
                <w:rFonts w:cs="Times New Roman"/>
              </w:rPr>
              <w:t>Plan 2027. (eur)</w:t>
            </w:r>
          </w:p>
        </w:tc>
        <w:tc>
          <w:tcPr>
            <w:tcW w:w="1632" w:type="dxa"/>
            <w:shd w:val="clear" w:color="auto" w:fill="B5C0D8"/>
          </w:tcPr>
          <w:p w14:paraId="2F94C770" w14:textId="77777777" w:rsidR="00203698" w:rsidRDefault="00000000">
            <w:pPr>
              <w:pStyle w:val="CellHeader"/>
            </w:pPr>
            <w:r>
              <w:rPr>
                <w:rFonts w:cs="Times New Roman"/>
              </w:rPr>
              <w:t>Plan 2028. (eur)</w:t>
            </w:r>
          </w:p>
        </w:tc>
        <w:tc>
          <w:tcPr>
            <w:tcW w:w="510" w:type="dxa"/>
            <w:shd w:val="clear" w:color="auto" w:fill="B5C0D8"/>
          </w:tcPr>
          <w:p w14:paraId="79B3D77F" w14:textId="77777777" w:rsidR="00203698" w:rsidRDefault="00000000">
            <w:pPr>
              <w:pStyle w:val="CellHeader"/>
            </w:pPr>
            <w:r>
              <w:rPr>
                <w:rFonts w:cs="Times New Roman"/>
              </w:rPr>
              <w:t>Indeks 2026/2025</w:t>
            </w:r>
          </w:p>
        </w:tc>
      </w:tr>
      <w:tr w:rsidR="00203698" w14:paraId="3B6E29A3" w14:textId="77777777">
        <w:trPr>
          <w:jc w:val="center"/>
        </w:trPr>
        <w:tc>
          <w:tcPr>
            <w:tcW w:w="1530" w:type="dxa"/>
          </w:tcPr>
          <w:p w14:paraId="70521B03" w14:textId="77777777" w:rsidR="00203698" w:rsidRDefault="00000000">
            <w:pPr>
              <w:pStyle w:val="CellColumn"/>
            </w:pPr>
            <w:r>
              <w:rPr>
                <w:rFonts w:cs="Times New Roman"/>
              </w:rPr>
              <w:t>3118-RAZVOJ I SIGURNOST KOPNENOG PROMETA</w:t>
            </w:r>
          </w:p>
        </w:tc>
        <w:tc>
          <w:tcPr>
            <w:tcW w:w="1632" w:type="dxa"/>
          </w:tcPr>
          <w:p w14:paraId="18E33BA0" w14:textId="77777777" w:rsidR="00203698" w:rsidRDefault="00000000">
            <w:pPr>
              <w:pStyle w:val="CellColumn"/>
            </w:pPr>
            <w:r>
              <w:rPr>
                <w:rFonts w:cs="Times New Roman"/>
              </w:rPr>
              <w:t>1.187.645</w:t>
            </w:r>
          </w:p>
        </w:tc>
        <w:tc>
          <w:tcPr>
            <w:tcW w:w="1632" w:type="dxa"/>
          </w:tcPr>
          <w:p w14:paraId="60733493" w14:textId="77777777" w:rsidR="00203698" w:rsidRDefault="00000000">
            <w:pPr>
              <w:pStyle w:val="CellColumn"/>
            </w:pPr>
            <w:r>
              <w:rPr>
                <w:rFonts w:cs="Times New Roman"/>
              </w:rPr>
              <w:t>1.423.329</w:t>
            </w:r>
          </w:p>
        </w:tc>
        <w:tc>
          <w:tcPr>
            <w:tcW w:w="1632" w:type="dxa"/>
          </w:tcPr>
          <w:p w14:paraId="3EB4E83C" w14:textId="77777777" w:rsidR="00203698" w:rsidRDefault="00000000">
            <w:pPr>
              <w:pStyle w:val="CellColumn"/>
            </w:pPr>
            <w:r>
              <w:rPr>
                <w:rFonts w:cs="Times New Roman"/>
              </w:rPr>
              <w:t>1.442.900</w:t>
            </w:r>
          </w:p>
        </w:tc>
        <w:tc>
          <w:tcPr>
            <w:tcW w:w="1632" w:type="dxa"/>
          </w:tcPr>
          <w:p w14:paraId="3D3E10CD" w14:textId="77777777" w:rsidR="00203698" w:rsidRDefault="00000000">
            <w:pPr>
              <w:pStyle w:val="CellColumn"/>
            </w:pPr>
            <w:r>
              <w:rPr>
                <w:rFonts w:cs="Times New Roman"/>
              </w:rPr>
              <w:t>1.442.400</w:t>
            </w:r>
          </w:p>
        </w:tc>
        <w:tc>
          <w:tcPr>
            <w:tcW w:w="1632" w:type="dxa"/>
          </w:tcPr>
          <w:p w14:paraId="11175B7F" w14:textId="77777777" w:rsidR="00203698" w:rsidRDefault="00000000">
            <w:pPr>
              <w:pStyle w:val="CellColumn"/>
            </w:pPr>
            <w:r>
              <w:rPr>
                <w:rFonts w:cs="Times New Roman"/>
              </w:rPr>
              <w:t>1.455.200</w:t>
            </w:r>
          </w:p>
        </w:tc>
        <w:tc>
          <w:tcPr>
            <w:tcW w:w="510" w:type="dxa"/>
          </w:tcPr>
          <w:p w14:paraId="481DD481" w14:textId="77777777" w:rsidR="00203698" w:rsidRDefault="00000000">
            <w:pPr>
              <w:pStyle w:val="CellColumn"/>
            </w:pPr>
            <w:r>
              <w:rPr>
                <w:rFonts w:cs="Times New Roman"/>
              </w:rPr>
              <w:t>101,4</w:t>
            </w:r>
          </w:p>
        </w:tc>
      </w:tr>
    </w:tbl>
    <w:p w14:paraId="0C4024B7" w14:textId="77777777" w:rsidR="00203698" w:rsidRDefault="00203698">
      <w:pPr>
        <w:jc w:val="left"/>
      </w:pPr>
    </w:p>
    <w:p w14:paraId="13CD336F" w14:textId="77777777" w:rsidR="00203698" w:rsidRDefault="00000000">
      <w:pPr>
        <w:pStyle w:val="Heading7"/>
      </w:pPr>
      <w:r>
        <w:t>Cilj 1. Cilj 1. Razvijen sustav kopnenog prometa te kvalitetan nadzor cestovnog prometa, cestovne infrastrukture i žičara</w:t>
      </w:r>
    </w:p>
    <w:p w14:paraId="423AF095" w14:textId="77777777" w:rsidR="00203698" w:rsidRDefault="00000000">
      <w:pPr>
        <w:pStyle w:val="Heading8"/>
        <w:jc w:val="left"/>
      </w:pPr>
      <w:r>
        <w:t>Pokazatelji učinka</w:t>
      </w:r>
    </w:p>
    <w:tbl>
      <w:tblPr>
        <w:tblStyle w:val="StilTablice"/>
        <w:tblW w:w="10206" w:type="dxa"/>
        <w:jc w:val="center"/>
        <w:tblLook w:val="04A0" w:firstRow="1" w:lastRow="0" w:firstColumn="1" w:lastColumn="0" w:noHBand="0" w:noVBand="1"/>
      </w:tblPr>
      <w:tblGrid>
        <w:gridCol w:w="2246"/>
        <w:gridCol w:w="2245"/>
        <w:gridCol w:w="918"/>
        <w:gridCol w:w="918"/>
        <w:gridCol w:w="1125"/>
        <w:gridCol w:w="918"/>
        <w:gridCol w:w="918"/>
        <w:gridCol w:w="918"/>
      </w:tblGrid>
      <w:tr w:rsidR="00203698" w14:paraId="34CE1A6E" w14:textId="77777777">
        <w:trPr>
          <w:jc w:val="center"/>
        </w:trPr>
        <w:tc>
          <w:tcPr>
            <w:tcW w:w="2245" w:type="dxa"/>
            <w:shd w:val="clear" w:color="auto" w:fill="B5C0D8"/>
          </w:tcPr>
          <w:p w14:paraId="6A2C5400" w14:textId="77777777" w:rsidR="00203698" w:rsidRDefault="00000000">
            <w:r>
              <w:t>Pokazatelj učinka</w:t>
            </w:r>
          </w:p>
        </w:tc>
        <w:tc>
          <w:tcPr>
            <w:tcW w:w="2245" w:type="dxa"/>
            <w:shd w:val="clear" w:color="auto" w:fill="B5C0D8"/>
          </w:tcPr>
          <w:p w14:paraId="419F75F7" w14:textId="77777777" w:rsidR="00203698" w:rsidRDefault="00000000">
            <w:pPr>
              <w:pStyle w:val="CellHeader"/>
            </w:pPr>
            <w:r>
              <w:rPr>
                <w:rFonts w:cs="Times New Roman"/>
              </w:rPr>
              <w:t>Definicija</w:t>
            </w:r>
          </w:p>
        </w:tc>
        <w:tc>
          <w:tcPr>
            <w:tcW w:w="918" w:type="dxa"/>
            <w:shd w:val="clear" w:color="auto" w:fill="B5C0D8"/>
          </w:tcPr>
          <w:p w14:paraId="1D7D6923" w14:textId="77777777" w:rsidR="00203698" w:rsidRDefault="00000000">
            <w:pPr>
              <w:pStyle w:val="CellHeader"/>
            </w:pPr>
            <w:r>
              <w:rPr>
                <w:rFonts w:cs="Times New Roman"/>
              </w:rPr>
              <w:t>Jedinica</w:t>
            </w:r>
          </w:p>
        </w:tc>
        <w:tc>
          <w:tcPr>
            <w:tcW w:w="918" w:type="dxa"/>
            <w:shd w:val="clear" w:color="auto" w:fill="B5C0D8"/>
          </w:tcPr>
          <w:p w14:paraId="6F372679" w14:textId="77777777" w:rsidR="00203698" w:rsidRDefault="00000000">
            <w:pPr>
              <w:pStyle w:val="CellHeader"/>
            </w:pPr>
            <w:r>
              <w:rPr>
                <w:rFonts w:cs="Times New Roman"/>
              </w:rPr>
              <w:t>Polazna vrijednost</w:t>
            </w:r>
          </w:p>
        </w:tc>
        <w:tc>
          <w:tcPr>
            <w:tcW w:w="918" w:type="dxa"/>
            <w:shd w:val="clear" w:color="auto" w:fill="B5C0D8"/>
          </w:tcPr>
          <w:p w14:paraId="31CBEA17" w14:textId="77777777" w:rsidR="00203698" w:rsidRDefault="00000000">
            <w:pPr>
              <w:pStyle w:val="CellHeader"/>
            </w:pPr>
            <w:r>
              <w:rPr>
                <w:rFonts w:cs="Times New Roman"/>
              </w:rPr>
              <w:t>Izvor podataka</w:t>
            </w:r>
          </w:p>
        </w:tc>
        <w:tc>
          <w:tcPr>
            <w:tcW w:w="918" w:type="dxa"/>
            <w:shd w:val="clear" w:color="auto" w:fill="B5C0D8"/>
          </w:tcPr>
          <w:p w14:paraId="76E05130" w14:textId="77777777" w:rsidR="00203698" w:rsidRDefault="00000000">
            <w:pPr>
              <w:pStyle w:val="CellHeader"/>
            </w:pPr>
            <w:r>
              <w:rPr>
                <w:rFonts w:cs="Times New Roman"/>
              </w:rPr>
              <w:t>Ciljana vrijednost (2026.)</w:t>
            </w:r>
          </w:p>
        </w:tc>
        <w:tc>
          <w:tcPr>
            <w:tcW w:w="918" w:type="dxa"/>
            <w:shd w:val="clear" w:color="auto" w:fill="B5C0D8"/>
          </w:tcPr>
          <w:p w14:paraId="1697A0AA" w14:textId="77777777" w:rsidR="00203698" w:rsidRDefault="00000000">
            <w:pPr>
              <w:pStyle w:val="CellHeader"/>
            </w:pPr>
            <w:r>
              <w:rPr>
                <w:rFonts w:cs="Times New Roman"/>
              </w:rPr>
              <w:t>Ciljana vrijednost (2027.)</w:t>
            </w:r>
          </w:p>
        </w:tc>
        <w:tc>
          <w:tcPr>
            <w:tcW w:w="918" w:type="dxa"/>
            <w:shd w:val="clear" w:color="auto" w:fill="B5C0D8"/>
          </w:tcPr>
          <w:p w14:paraId="51FB67E8" w14:textId="77777777" w:rsidR="00203698" w:rsidRDefault="00000000">
            <w:pPr>
              <w:pStyle w:val="CellHeader"/>
            </w:pPr>
            <w:r>
              <w:rPr>
                <w:rFonts w:cs="Times New Roman"/>
              </w:rPr>
              <w:t>Ciljana vrijednost (2028.)</w:t>
            </w:r>
          </w:p>
        </w:tc>
      </w:tr>
      <w:tr w:rsidR="00203698" w14:paraId="4A0DB2A2" w14:textId="77777777">
        <w:trPr>
          <w:jc w:val="center"/>
        </w:trPr>
        <w:tc>
          <w:tcPr>
            <w:tcW w:w="2245" w:type="dxa"/>
          </w:tcPr>
          <w:p w14:paraId="61D8BE0F" w14:textId="77777777" w:rsidR="00203698" w:rsidRDefault="00000000">
            <w:pPr>
              <w:pStyle w:val="CellColumn"/>
            </w:pPr>
            <w:r>
              <w:rPr>
                <w:rFonts w:cs="Times New Roman"/>
              </w:rPr>
              <w:t>Stupanj riješenih upravnih/neupravnih predmeta unutar utvrđenih rokova</w:t>
            </w:r>
          </w:p>
        </w:tc>
        <w:tc>
          <w:tcPr>
            <w:tcW w:w="2245" w:type="dxa"/>
          </w:tcPr>
          <w:p w14:paraId="530025F5" w14:textId="77777777" w:rsidR="00203698" w:rsidRDefault="00000000">
            <w:pPr>
              <w:pStyle w:val="CellColumn"/>
            </w:pPr>
            <w:r>
              <w:rPr>
                <w:rFonts w:cs="Times New Roman"/>
              </w:rPr>
              <w:t>Stupanj riješenih upravnih/neupravnih predmeta unutar utvrđenih rokova iz područja djelovanja Agencije utječe na povećanje  razine sigurnost željezničkog prometa što u konačnici utječe na ostvarivanje održivog razvoja prometnog sustava</w:t>
            </w:r>
          </w:p>
        </w:tc>
        <w:tc>
          <w:tcPr>
            <w:tcW w:w="918" w:type="dxa"/>
          </w:tcPr>
          <w:p w14:paraId="47BD000B" w14:textId="77777777" w:rsidR="00203698" w:rsidRDefault="00000000">
            <w:pPr>
              <w:pStyle w:val="CellColumn"/>
            </w:pPr>
            <w:r>
              <w:rPr>
                <w:rFonts w:cs="Times New Roman"/>
              </w:rPr>
              <w:t>%</w:t>
            </w:r>
          </w:p>
        </w:tc>
        <w:tc>
          <w:tcPr>
            <w:tcW w:w="918" w:type="dxa"/>
          </w:tcPr>
          <w:p w14:paraId="38B7903F" w14:textId="77777777" w:rsidR="00203698" w:rsidRDefault="00000000">
            <w:pPr>
              <w:pStyle w:val="CellColumn"/>
            </w:pPr>
            <w:r>
              <w:rPr>
                <w:rFonts w:cs="Times New Roman"/>
              </w:rPr>
              <w:t>100</w:t>
            </w:r>
          </w:p>
        </w:tc>
        <w:tc>
          <w:tcPr>
            <w:tcW w:w="918" w:type="dxa"/>
          </w:tcPr>
          <w:p w14:paraId="75258A17" w14:textId="77777777" w:rsidR="00203698" w:rsidRDefault="00000000">
            <w:pPr>
              <w:pStyle w:val="CellColumn"/>
            </w:pPr>
            <w:r>
              <w:rPr>
                <w:rFonts w:cs="Times New Roman"/>
              </w:rPr>
              <w:t>Upisnik predmeta I. stupnja i Urudžbeni upisnik Agencije za sigurnost željezničkog prometa</w:t>
            </w:r>
          </w:p>
        </w:tc>
        <w:tc>
          <w:tcPr>
            <w:tcW w:w="918" w:type="dxa"/>
          </w:tcPr>
          <w:p w14:paraId="3C2F7FF4" w14:textId="77777777" w:rsidR="00203698" w:rsidRDefault="00000000">
            <w:pPr>
              <w:pStyle w:val="CellColumn"/>
            </w:pPr>
            <w:r>
              <w:rPr>
                <w:rFonts w:cs="Times New Roman"/>
              </w:rPr>
              <w:t>100</w:t>
            </w:r>
          </w:p>
        </w:tc>
        <w:tc>
          <w:tcPr>
            <w:tcW w:w="918" w:type="dxa"/>
          </w:tcPr>
          <w:p w14:paraId="054C8731" w14:textId="77777777" w:rsidR="00203698" w:rsidRDefault="00000000">
            <w:pPr>
              <w:pStyle w:val="CellColumn"/>
            </w:pPr>
            <w:r>
              <w:rPr>
                <w:rFonts w:cs="Times New Roman"/>
              </w:rPr>
              <w:t>100</w:t>
            </w:r>
          </w:p>
        </w:tc>
        <w:tc>
          <w:tcPr>
            <w:tcW w:w="918" w:type="dxa"/>
          </w:tcPr>
          <w:p w14:paraId="63EB0438" w14:textId="77777777" w:rsidR="00203698" w:rsidRDefault="00000000">
            <w:pPr>
              <w:pStyle w:val="CellColumn"/>
            </w:pPr>
            <w:r>
              <w:rPr>
                <w:rFonts w:cs="Times New Roman"/>
              </w:rPr>
              <w:t>100</w:t>
            </w:r>
          </w:p>
        </w:tc>
      </w:tr>
    </w:tbl>
    <w:p w14:paraId="0A8AC5F9" w14:textId="77777777" w:rsidR="00203698" w:rsidRDefault="00203698">
      <w:pPr>
        <w:jc w:val="left"/>
      </w:pPr>
    </w:p>
    <w:p w14:paraId="08D9A220" w14:textId="77777777" w:rsidR="00203698" w:rsidRDefault="00000000">
      <w:pPr>
        <w:pStyle w:val="Heading4"/>
      </w:pPr>
      <w:r>
        <w:t>A840001 ADMINISTRACIJA I UPRAVLJANJE AGENCIJE ZA SIGURNOST ŽELJEZNIČKOG PROMETA</w:t>
      </w:r>
    </w:p>
    <w:p w14:paraId="202D4FBD" w14:textId="77777777" w:rsidR="00203698" w:rsidRDefault="00000000">
      <w:pPr>
        <w:pStyle w:val="Heading8"/>
        <w:jc w:val="left"/>
      </w:pPr>
      <w:r>
        <w:t>Zakonske i druge pravne osnove</w:t>
      </w:r>
    </w:p>
    <w:p w14:paraId="0558BC49" w14:textId="77777777" w:rsidR="00203698" w:rsidRDefault="00000000">
      <w:pPr>
        <w:pStyle w:val="Normal5"/>
      </w:pPr>
      <w:r>
        <w:t xml:space="preserve">- Zakon o sigurnosti i interoperabilnosti željezničkog sustava, članci 3., 6., 8., 9., 10., 11., 12., 13., 14., 15., 16., 17., 29.,  30., 34., 46., 51., 54., 55., 65., 72., 73., 74., 96., 98., 107., 122., 126., 127. i 130.   </w:t>
      </w:r>
    </w:p>
    <w:p w14:paraId="383BFFF5" w14:textId="77777777" w:rsidR="00203698" w:rsidRDefault="00000000">
      <w:pPr>
        <w:pStyle w:val="Normal5"/>
      </w:pPr>
      <w:r>
        <w:t xml:space="preserve">- Zakon o prijevozu opasnih tvari, članci 1., 2., 3., 44., 45., 46., 47., 48. i 55.    </w:t>
      </w:r>
    </w:p>
    <w:p w14:paraId="70D71FC2" w14:textId="77777777" w:rsidR="00203698" w:rsidRDefault="00000000">
      <w:pPr>
        <w:pStyle w:val="Normal5"/>
      </w:pPr>
      <w:r>
        <w:lastRenderedPageBreak/>
        <w:t xml:space="preserve">- Zakon o općem upravnom postupku, članak 1.   </w:t>
      </w:r>
    </w:p>
    <w:p w14:paraId="07EA59CE" w14:textId="77777777" w:rsidR="00203698" w:rsidRDefault="00000000">
      <w:pPr>
        <w:pStyle w:val="Normal5"/>
      </w:pPr>
      <w:r>
        <w:t xml:space="preserve">- Zakon o upravnim sporovima, članci 1. i 17.   </w:t>
      </w:r>
    </w:p>
    <w:p w14:paraId="4483DEEB" w14:textId="77777777" w:rsidR="00203698" w:rsidRDefault="00000000">
      <w:pPr>
        <w:pStyle w:val="Normal5"/>
      </w:pPr>
      <w:r>
        <w:t xml:space="preserve">- Prekršajni zakon, članci 2., 34., 59., 83., 109., 117., 143., 228., 229., 239.   </w:t>
      </w:r>
    </w:p>
    <w:p w14:paraId="120BC839" w14:textId="77777777" w:rsidR="00203698" w:rsidRDefault="00000000">
      <w:pPr>
        <w:pStyle w:val="Normal5"/>
      </w:pPr>
      <w:r>
        <w:t>- Zakon o sustavu državne uprave, članci 17., 24., 25., 26., 27., 28., 29., 30., 31., 32., 33. i 60.</w:t>
      </w:r>
    </w:p>
    <w:tbl>
      <w:tblPr>
        <w:tblStyle w:val="StilTablice"/>
        <w:tblW w:w="10206" w:type="dxa"/>
        <w:jc w:val="center"/>
        <w:tblLook w:val="04A0" w:firstRow="1" w:lastRow="0" w:firstColumn="1" w:lastColumn="0" w:noHBand="0" w:noVBand="1"/>
      </w:tblPr>
      <w:tblGrid>
        <w:gridCol w:w="1792"/>
        <w:gridCol w:w="1488"/>
        <w:gridCol w:w="1489"/>
        <w:gridCol w:w="1489"/>
        <w:gridCol w:w="1489"/>
        <w:gridCol w:w="1489"/>
        <w:gridCol w:w="970"/>
      </w:tblGrid>
      <w:tr w:rsidR="00203698" w14:paraId="0024517F" w14:textId="77777777">
        <w:trPr>
          <w:jc w:val="center"/>
        </w:trPr>
        <w:tc>
          <w:tcPr>
            <w:tcW w:w="1530" w:type="dxa"/>
            <w:shd w:val="clear" w:color="auto" w:fill="B5C0D8"/>
          </w:tcPr>
          <w:p w14:paraId="690CE6EE" w14:textId="77777777" w:rsidR="00203698" w:rsidRDefault="00000000">
            <w:pPr>
              <w:pStyle w:val="CellHeader"/>
            </w:pPr>
            <w:r>
              <w:rPr>
                <w:rFonts w:cs="Times New Roman"/>
              </w:rPr>
              <w:t>Naziv aktivnosti</w:t>
            </w:r>
          </w:p>
        </w:tc>
        <w:tc>
          <w:tcPr>
            <w:tcW w:w="1632" w:type="dxa"/>
            <w:shd w:val="clear" w:color="auto" w:fill="B5C0D8"/>
          </w:tcPr>
          <w:p w14:paraId="2F042974" w14:textId="77777777" w:rsidR="00203698" w:rsidRDefault="00000000">
            <w:pPr>
              <w:pStyle w:val="CellHeader"/>
            </w:pPr>
            <w:r>
              <w:rPr>
                <w:rFonts w:cs="Times New Roman"/>
              </w:rPr>
              <w:t>Izvršenje 2024. (eur)</w:t>
            </w:r>
          </w:p>
        </w:tc>
        <w:tc>
          <w:tcPr>
            <w:tcW w:w="1632" w:type="dxa"/>
            <w:shd w:val="clear" w:color="auto" w:fill="B5C0D8"/>
          </w:tcPr>
          <w:p w14:paraId="4DB71DAF" w14:textId="77777777" w:rsidR="00203698" w:rsidRDefault="00000000">
            <w:pPr>
              <w:pStyle w:val="CellHeader"/>
            </w:pPr>
            <w:r>
              <w:rPr>
                <w:rFonts w:cs="Times New Roman"/>
              </w:rPr>
              <w:t>Plan 2025. (eur)</w:t>
            </w:r>
          </w:p>
        </w:tc>
        <w:tc>
          <w:tcPr>
            <w:tcW w:w="1632" w:type="dxa"/>
            <w:shd w:val="clear" w:color="auto" w:fill="B5C0D8"/>
          </w:tcPr>
          <w:p w14:paraId="04FA948D" w14:textId="77777777" w:rsidR="00203698" w:rsidRDefault="00000000">
            <w:pPr>
              <w:pStyle w:val="CellHeader"/>
            </w:pPr>
            <w:r>
              <w:rPr>
                <w:rFonts w:cs="Times New Roman"/>
              </w:rPr>
              <w:t>Plan 2026. (eur)</w:t>
            </w:r>
          </w:p>
        </w:tc>
        <w:tc>
          <w:tcPr>
            <w:tcW w:w="1632" w:type="dxa"/>
            <w:shd w:val="clear" w:color="auto" w:fill="B5C0D8"/>
          </w:tcPr>
          <w:p w14:paraId="1C218DC3" w14:textId="77777777" w:rsidR="00203698" w:rsidRDefault="00000000">
            <w:pPr>
              <w:pStyle w:val="CellHeader"/>
            </w:pPr>
            <w:r>
              <w:rPr>
                <w:rFonts w:cs="Times New Roman"/>
              </w:rPr>
              <w:t>Plan 2027. (eur)</w:t>
            </w:r>
          </w:p>
        </w:tc>
        <w:tc>
          <w:tcPr>
            <w:tcW w:w="1632" w:type="dxa"/>
            <w:shd w:val="clear" w:color="auto" w:fill="B5C0D8"/>
          </w:tcPr>
          <w:p w14:paraId="4E482F95" w14:textId="77777777" w:rsidR="00203698" w:rsidRDefault="00000000">
            <w:pPr>
              <w:pStyle w:val="CellHeader"/>
            </w:pPr>
            <w:r>
              <w:rPr>
                <w:rFonts w:cs="Times New Roman"/>
              </w:rPr>
              <w:t>Plan 2028. (eur)</w:t>
            </w:r>
          </w:p>
        </w:tc>
        <w:tc>
          <w:tcPr>
            <w:tcW w:w="510" w:type="dxa"/>
            <w:shd w:val="clear" w:color="auto" w:fill="B5C0D8"/>
          </w:tcPr>
          <w:p w14:paraId="42563461" w14:textId="77777777" w:rsidR="00203698" w:rsidRDefault="00000000">
            <w:pPr>
              <w:pStyle w:val="CellHeader"/>
            </w:pPr>
            <w:r>
              <w:rPr>
                <w:rFonts w:cs="Times New Roman"/>
              </w:rPr>
              <w:t>Indeks 2026/2025</w:t>
            </w:r>
          </w:p>
        </w:tc>
      </w:tr>
      <w:tr w:rsidR="00203698" w14:paraId="74945DCD" w14:textId="77777777">
        <w:trPr>
          <w:jc w:val="center"/>
        </w:trPr>
        <w:tc>
          <w:tcPr>
            <w:tcW w:w="1530" w:type="dxa"/>
          </w:tcPr>
          <w:p w14:paraId="0C5729F7" w14:textId="77777777" w:rsidR="00203698" w:rsidRDefault="00000000">
            <w:pPr>
              <w:pStyle w:val="CellColumn"/>
            </w:pPr>
            <w:r>
              <w:rPr>
                <w:rFonts w:cs="Times New Roman"/>
              </w:rPr>
              <w:t>A840001-ADMINISTRACIJA I UPRAVLJANJE AGENCIJE ZA SIGURNOST ŽELJEZNIČKOG PROMETA</w:t>
            </w:r>
          </w:p>
        </w:tc>
        <w:tc>
          <w:tcPr>
            <w:tcW w:w="1632" w:type="dxa"/>
          </w:tcPr>
          <w:p w14:paraId="06F19E62" w14:textId="77777777" w:rsidR="00203698" w:rsidRDefault="00000000">
            <w:pPr>
              <w:pStyle w:val="CellColumn"/>
            </w:pPr>
            <w:r>
              <w:rPr>
                <w:rFonts w:cs="Times New Roman"/>
              </w:rPr>
              <w:t>1.131.498</w:t>
            </w:r>
          </w:p>
        </w:tc>
        <w:tc>
          <w:tcPr>
            <w:tcW w:w="1632" w:type="dxa"/>
          </w:tcPr>
          <w:p w14:paraId="7E55D98C" w14:textId="77777777" w:rsidR="00203698" w:rsidRDefault="00000000">
            <w:pPr>
              <w:pStyle w:val="CellColumn"/>
            </w:pPr>
            <w:r>
              <w:rPr>
                <w:rFonts w:cs="Times New Roman"/>
              </w:rPr>
              <w:t>1.372.029</w:t>
            </w:r>
          </w:p>
        </w:tc>
        <w:tc>
          <w:tcPr>
            <w:tcW w:w="1632" w:type="dxa"/>
          </w:tcPr>
          <w:p w14:paraId="3E87DD81" w14:textId="77777777" w:rsidR="00203698" w:rsidRDefault="00000000">
            <w:pPr>
              <w:pStyle w:val="CellColumn"/>
            </w:pPr>
            <w:r>
              <w:rPr>
                <w:rFonts w:cs="Times New Roman"/>
              </w:rPr>
              <w:t>1.416.600</w:t>
            </w:r>
          </w:p>
        </w:tc>
        <w:tc>
          <w:tcPr>
            <w:tcW w:w="1632" w:type="dxa"/>
          </w:tcPr>
          <w:p w14:paraId="7D49645E" w14:textId="77777777" w:rsidR="00203698" w:rsidRDefault="00000000">
            <w:pPr>
              <w:pStyle w:val="CellColumn"/>
            </w:pPr>
            <w:r>
              <w:rPr>
                <w:rFonts w:cs="Times New Roman"/>
              </w:rPr>
              <w:t>1.417.300</w:t>
            </w:r>
          </w:p>
        </w:tc>
        <w:tc>
          <w:tcPr>
            <w:tcW w:w="1632" w:type="dxa"/>
          </w:tcPr>
          <w:p w14:paraId="039C676F" w14:textId="77777777" w:rsidR="00203698" w:rsidRDefault="00000000">
            <w:pPr>
              <w:pStyle w:val="CellColumn"/>
            </w:pPr>
            <w:r>
              <w:rPr>
                <w:rFonts w:cs="Times New Roman"/>
              </w:rPr>
              <w:t>1.420.400</w:t>
            </w:r>
          </w:p>
        </w:tc>
        <w:tc>
          <w:tcPr>
            <w:tcW w:w="510" w:type="dxa"/>
          </w:tcPr>
          <w:p w14:paraId="2238B56A" w14:textId="77777777" w:rsidR="00203698" w:rsidRDefault="00000000">
            <w:pPr>
              <w:pStyle w:val="CellColumn"/>
            </w:pPr>
            <w:r>
              <w:rPr>
                <w:rFonts w:cs="Times New Roman"/>
              </w:rPr>
              <w:t>103,2</w:t>
            </w:r>
          </w:p>
        </w:tc>
      </w:tr>
    </w:tbl>
    <w:p w14:paraId="7ADF6772" w14:textId="77777777" w:rsidR="00203698" w:rsidRDefault="00203698">
      <w:pPr>
        <w:jc w:val="left"/>
      </w:pPr>
    </w:p>
    <w:p w14:paraId="679088DB" w14:textId="77777777" w:rsidR="00203698" w:rsidRDefault="00000000">
      <w:r>
        <w:t xml:space="preserve">Kroz navedenu aktivnost planira se najznačajniji dio proračuna Agencije koji pokriva troškove rada zaposlenika, njihova službena putovanja, nabavu nefinancijske imovine (oprema za rad) i druge materijalne rashode (uredski materijal, troškovi zakupa radnog prostora i vezani režijski troškovi, troškovi naknade za rad članova Upravnog vijeća).     </w:t>
      </w:r>
    </w:p>
    <w:p w14:paraId="2EDF30EC" w14:textId="77777777" w:rsidR="00203698" w:rsidRDefault="00000000">
      <w:r>
        <w:t xml:space="preserve">Rashodi za zaposlene u 2026. godini planirani su na bazi 21 zaposlenih.    </w:t>
      </w:r>
    </w:p>
    <w:p w14:paraId="43648EC6" w14:textId="77777777" w:rsidR="00203698" w:rsidRDefault="00000000">
      <w:r>
        <w:t xml:space="preserve">Plaće i ostali vezani rashodi zaposlenih iz izvora općeg proračuna čine ukupno 79,08 % troškova aktivnosti i to na način da:    </w:t>
      </w:r>
    </w:p>
    <w:p w14:paraId="03C60EE3" w14:textId="77777777" w:rsidR="00203698" w:rsidRDefault="00000000">
      <w:r>
        <w:t xml:space="preserve">- broj zaposlenih (21) x prosječna bruto II plaća s ostalim vezanim rashodima (4.445 EUR) x 12 mjeseci iznosi približno 1.120.300 EUR od čega ostali/vezani rashodi za zaposlene (nagrade, otpremnine, regres, božićnica itd.) čine 2,05 % tih troškova (23.000 EUR).    </w:t>
      </w:r>
    </w:p>
    <w:p w14:paraId="6035BC7B" w14:textId="77777777" w:rsidR="00203698" w:rsidRDefault="00000000">
      <w:r>
        <w:t xml:space="preserve">Iz ostalih izvora financiranja plaće i vezani troškovi zaposlenih iznose ukupno 43.500 EUR što čini 3,07 % rashoda aktivnosti. </w:t>
      </w:r>
    </w:p>
    <w:p w14:paraId="088CA65C" w14:textId="77777777" w:rsidR="00203698" w:rsidRDefault="00000000">
      <w:r>
        <w:t xml:space="preserve">Materijalni rashodi maksimalno su planirani prema Smjernicama za uspostavu standardnih materijalnih troškova i potrebama Agencije za obavljanje poslova iz svog djelokruga koji s iznosom od 251.700 EUR ukupno čine 17,77 % troškova aktivnosti, od kojih su najznačajniji rashodi za usluge (zakupa poslovnog prostora i vezani režijski i tekući troškovi) koji čine 57,37 % tih troškova, ostali najznačajniji troškovi su naknade troškova zaposlenima 24,04 % te naknada članovima Upravnog vijeća, 12,20 %.    </w:t>
      </w:r>
    </w:p>
    <w:p w14:paraId="16D6CB93" w14:textId="77777777" w:rsidR="00203698" w:rsidRDefault="00000000">
      <w:r>
        <w:t xml:space="preserve">Rashodi za nabavu proizvedene dugotrajne imovine planirani su tek kao minimalna rezerva za obnovu dijela uredskog namještaja i eventualne nabave dodatne opreme za nove zaposlenike Agencije u iznosu od 850 EUR ili 0,06 % ukupnog iznosa aktivnosti.    </w:t>
      </w:r>
    </w:p>
    <w:p w14:paraId="494C8A10" w14:textId="77777777" w:rsidR="00203698" w:rsidRDefault="00000000">
      <w:r>
        <w:t>U 2027. i 2028. godini ne očekuju se značajne oscilacije u broju zaposlenih te su rashodi planirani prema tekućim obvezama i ugovorima po stavkama aktivnosti. U 2027. godini planirani iznos rashoda aktivnosti iznosi 1.417.300 EUR, a u 2028. godini 1.420.400 EUR.</w:t>
      </w:r>
    </w:p>
    <w:p w14:paraId="1859627A" w14:textId="77777777" w:rsidR="00203698" w:rsidRDefault="00000000">
      <w:pPr>
        <w:pStyle w:val="Heading4"/>
      </w:pPr>
      <w:r>
        <w:t>K840002 INFORMATIZACIJA</w:t>
      </w:r>
    </w:p>
    <w:p w14:paraId="3823B3EB" w14:textId="77777777" w:rsidR="00203698" w:rsidRDefault="00000000">
      <w:pPr>
        <w:pStyle w:val="Heading8"/>
        <w:jc w:val="left"/>
      </w:pPr>
      <w:r>
        <w:t>Zakonske i druge pravne osnove</w:t>
      </w:r>
    </w:p>
    <w:p w14:paraId="4CBA10CB" w14:textId="77777777" w:rsidR="00203698" w:rsidRDefault="00000000">
      <w:pPr>
        <w:pStyle w:val="Normal5"/>
      </w:pPr>
      <w:r>
        <w:t xml:space="preserve">- Zakon o sigurnosti i interoperabilnosti željezničkog sustava, članci 3., 6., 8., 9., 10., 11., 12., 13., 14., 15., 16., 17., 29., 30., 34., 46., 51., 54., 55., 65., 72., 73., 74., 96., 98., 107., 122., 126., 127. i 130.   </w:t>
      </w:r>
    </w:p>
    <w:p w14:paraId="19230E18" w14:textId="77777777" w:rsidR="00203698" w:rsidRDefault="00000000">
      <w:pPr>
        <w:pStyle w:val="Normal5"/>
      </w:pPr>
      <w:r>
        <w:t xml:space="preserve">- Zakon o prijevozu opasnih tvari, članci 1., 2., 3., 44., 45., 46., 47., 48. i 55.    </w:t>
      </w:r>
    </w:p>
    <w:p w14:paraId="70E07A18" w14:textId="77777777" w:rsidR="00203698" w:rsidRDefault="00000000">
      <w:pPr>
        <w:pStyle w:val="Normal5"/>
      </w:pPr>
      <w:r>
        <w:t xml:space="preserve">- Zakon o općem upravnom postupku, članak 1.   </w:t>
      </w:r>
    </w:p>
    <w:p w14:paraId="6EB8E094" w14:textId="77777777" w:rsidR="00203698" w:rsidRDefault="00000000">
      <w:pPr>
        <w:pStyle w:val="Normal5"/>
      </w:pPr>
      <w:r>
        <w:t xml:space="preserve">- Zakon o upravnim sporovima, članci 1. i 17.   </w:t>
      </w:r>
    </w:p>
    <w:p w14:paraId="458C8354" w14:textId="77777777" w:rsidR="00203698" w:rsidRDefault="00000000">
      <w:pPr>
        <w:pStyle w:val="Normal5"/>
      </w:pPr>
      <w:r>
        <w:t xml:space="preserve">- Prekršajni zakon, članci 2., 34., 59., 83., 109., 117., 143., 228., 229., 239.   </w:t>
      </w:r>
    </w:p>
    <w:p w14:paraId="3A970735" w14:textId="77777777" w:rsidR="00203698" w:rsidRDefault="00000000">
      <w:pPr>
        <w:pStyle w:val="Normal5"/>
      </w:pPr>
      <w:r>
        <w:t>- Zakon o sustavu državne uprave, članci 17., 24., 25., 26., 27., 28., 29., 30., 31., 32., 33. i 60.</w:t>
      </w:r>
    </w:p>
    <w:tbl>
      <w:tblPr>
        <w:tblStyle w:val="StilTablice"/>
        <w:tblW w:w="10206" w:type="dxa"/>
        <w:jc w:val="center"/>
        <w:tblLook w:val="04A0" w:firstRow="1" w:lastRow="0" w:firstColumn="1" w:lastColumn="0" w:noHBand="0" w:noVBand="1"/>
      </w:tblPr>
      <w:tblGrid>
        <w:gridCol w:w="1914"/>
        <w:gridCol w:w="1490"/>
        <w:gridCol w:w="1458"/>
        <w:gridCol w:w="1458"/>
        <w:gridCol w:w="1458"/>
        <w:gridCol w:w="1458"/>
        <w:gridCol w:w="970"/>
      </w:tblGrid>
      <w:tr w:rsidR="00203698" w14:paraId="18246136" w14:textId="77777777">
        <w:trPr>
          <w:jc w:val="center"/>
        </w:trPr>
        <w:tc>
          <w:tcPr>
            <w:tcW w:w="1530" w:type="dxa"/>
            <w:shd w:val="clear" w:color="auto" w:fill="B5C0D8"/>
          </w:tcPr>
          <w:p w14:paraId="4EFC3FFD" w14:textId="77777777" w:rsidR="00203698" w:rsidRDefault="00000000">
            <w:pPr>
              <w:pStyle w:val="CellHeader"/>
            </w:pPr>
            <w:r>
              <w:rPr>
                <w:rFonts w:cs="Times New Roman"/>
              </w:rPr>
              <w:lastRenderedPageBreak/>
              <w:t>Naziv aktivnosti</w:t>
            </w:r>
          </w:p>
        </w:tc>
        <w:tc>
          <w:tcPr>
            <w:tcW w:w="1632" w:type="dxa"/>
            <w:shd w:val="clear" w:color="auto" w:fill="B5C0D8"/>
          </w:tcPr>
          <w:p w14:paraId="3E2FAE8B" w14:textId="77777777" w:rsidR="00203698" w:rsidRDefault="00000000">
            <w:pPr>
              <w:pStyle w:val="CellHeader"/>
            </w:pPr>
            <w:r>
              <w:rPr>
                <w:rFonts w:cs="Times New Roman"/>
              </w:rPr>
              <w:t>Izvršenje 2024. (eur)</w:t>
            </w:r>
          </w:p>
        </w:tc>
        <w:tc>
          <w:tcPr>
            <w:tcW w:w="1632" w:type="dxa"/>
            <w:shd w:val="clear" w:color="auto" w:fill="B5C0D8"/>
          </w:tcPr>
          <w:p w14:paraId="4647D7F9" w14:textId="77777777" w:rsidR="00203698" w:rsidRDefault="00000000">
            <w:pPr>
              <w:pStyle w:val="CellHeader"/>
            </w:pPr>
            <w:r>
              <w:rPr>
                <w:rFonts w:cs="Times New Roman"/>
              </w:rPr>
              <w:t>Plan 2025. (eur)</w:t>
            </w:r>
          </w:p>
        </w:tc>
        <w:tc>
          <w:tcPr>
            <w:tcW w:w="1632" w:type="dxa"/>
            <w:shd w:val="clear" w:color="auto" w:fill="B5C0D8"/>
          </w:tcPr>
          <w:p w14:paraId="4D353E41" w14:textId="77777777" w:rsidR="00203698" w:rsidRDefault="00000000">
            <w:pPr>
              <w:pStyle w:val="CellHeader"/>
            </w:pPr>
            <w:r>
              <w:rPr>
                <w:rFonts w:cs="Times New Roman"/>
              </w:rPr>
              <w:t>Plan 2026. (eur)</w:t>
            </w:r>
          </w:p>
        </w:tc>
        <w:tc>
          <w:tcPr>
            <w:tcW w:w="1632" w:type="dxa"/>
            <w:shd w:val="clear" w:color="auto" w:fill="B5C0D8"/>
          </w:tcPr>
          <w:p w14:paraId="0EA21271" w14:textId="77777777" w:rsidR="00203698" w:rsidRDefault="00000000">
            <w:pPr>
              <w:pStyle w:val="CellHeader"/>
            </w:pPr>
            <w:r>
              <w:rPr>
                <w:rFonts w:cs="Times New Roman"/>
              </w:rPr>
              <w:t>Plan 2027. (eur)</w:t>
            </w:r>
          </w:p>
        </w:tc>
        <w:tc>
          <w:tcPr>
            <w:tcW w:w="1632" w:type="dxa"/>
            <w:shd w:val="clear" w:color="auto" w:fill="B5C0D8"/>
          </w:tcPr>
          <w:p w14:paraId="7AAA2FD2" w14:textId="77777777" w:rsidR="00203698" w:rsidRDefault="00000000">
            <w:pPr>
              <w:pStyle w:val="CellHeader"/>
            </w:pPr>
            <w:r>
              <w:rPr>
                <w:rFonts w:cs="Times New Roman"/>
              </w:rPr>
              <w:t>Plan 2028. (eur)</w:t>
            </w:r>
          </w:p>
        </w:tc>
        <w:tc>
          <w:tcPr>
            <w:tcW w:w="510" w:type="dxa"/>
            <w:shd w:val="clear" w:color="auto" w:fill="B5C0D8"/>
          </w:tcPr>
          <w:p w14:paraId="6DF98306" w14:textId="77777777" w:rsidR="00203698" w:rsidRDefault="00000000">
            <w:pPr>
              <w:pStyle w:val="CellHeader"/>
            </w:pPr>
            <w:r>
              <w:rPr>
                <w:rFonts w:cs="Times New Roman"/>
              </w:rPr>
              <w:t>Indeks 2026/2025</w:t>
            </w:r>
          </w:p>
        </w:tc>
      </w:tr>
      <w:tr w:rsidR="00203698" w14:paraId="5E787812" w14:textId="77777777">
        <w:trPr>
          <w:jc w:val="center"/>
        </w:trPr>
        <w:tc>
          <w:tcPr>
            <w:tcW w:w="1530" w:type="dxa"/>
          </w:tcPr>
          <w:p w14:paraId="46B21AFA" w14:textId="77777777" w:rsidR="00203698" w:rsidRDefault="00000000">
            <w:pPr>
              <w:pStyle w:val="CellColumn"/>
            </w:pPr>
            <w:r>
              <w:rPr>
                <w:rFonts w:cs="Times New Roman"/>
              </w:rPr>
              <w:t>K840002-INFORMATIZACIJA</w:t>
            </w:r>
          </w:p>
        </w:tc>
        <w:tc>
          <w:tcPr>
            <w:tcW w:w="1632" w:type="dxa"/>
          </w:tcPr>
          <w:p w14:paraId="39C1B1CD" w14:textId="77777777" w:rsidR="00203698" w:rsidRDefault="00000000">
            <w:pPr>
              <w:pStyle w:val="CellColumn"/>
            </w:pPr>
            <w:r>
              <w:rPr>
                <w:rFonts w:cs="Times New Roman"/>
              </w:rPr>
              <w:t>42.083</w:t>
            </w:r>
          </w:p>
        </w:tc>
        <w:tc>
          <w:tcPr>
            <w:tcW w:w="1632" w:type="dxa"/>
          </w:tcPr>
          <w:p w14:paraId="56CEDC2A" w14:textId="77777777" w:rsidR="00203698" w:rsidRDefault="00000000">
            <w:pPr>
              <w:pStyle w:val="CellColumn"/>
            </w:pPr>
            <w:r>
              <w:rPr>
                <w:rFonts w:cs="Times New Roman"/>
              </w:rPr>
              <w:t>51.300</w:t>
            </w:r>
          </w:p>
        </w:tc>
        <w:tc>
          <w:tcPr>
            <w:tcW w:w="1632" w:type="dxa"/>
          </w:tcPr>
          <w:p w14:paraId="58E1172A" w14:textId="77777777" w:rsidR="00203698" w:rsidRDefault="00000000">
            <w:pPr>
              <w:pStyle w:val="CellColumn"/>
            </w:pPr>
            <w:r>
              <w:rPr>
                <w:rFonts w:cs="Times New Roman"/>
              </w:rPr>
              <w:t>26.300</w:t>
            </w:r>
          </w:p>
        </w:tc>
        <w:tc>
          <w:tcPr>
            <w:tcW w:w="1632" w:type="dxa"/>
          </w:tcPr>
          <w:p w14:paraId="4E429347" w14:textId="77777777" w:rsidR="00203698" w:rsidRDefault="00000000">
            <w:pPr>
              <w:pStyle w:val="CellColumn"/>
            </w:pPr>
            <w:r>
              <w:rPr>
                <w:rFonts w:cs="Times New Roman"/>
              </w:rPr>
              <w:t>25.100</w:t>
            </w:r>
          </w:p>
        </w:tc>
        <w:tc>
          <w:tcPr>
            <w:tcW w:w="1632" w:type="dxa"/>
          </w:tcPr>
          <w:p w14:paraId="6B18EFA5" w14:textId="77777777" w:rsidR="00203698" w:rsidRDefault="00000000">
            <w:pPr>
              <w:pStyle w:val="CellColumn"/>
            </w:pPr>
            <w:r>
              <w:rPr>
                <w:rFonts w:cs="Times New Roman"/>
              </w:rPr>
              <w:t>34.800</w:t>
            </w:r>
          </w:p>
        </w:tc>
        <w:tc>
          <w:tcPr>
            <w:tcW w:w="510" w:type="dxa"/>
          </w:tcPr>
          <w:p w14:paraId="36AE7983" w14:textId="77777777" w:rsidR="00203698" w:rsidRDefault="00000000">
            <w:pPr>
              <w:pStyle w:val="CellColumn"/>
            </w:pPr>
            <w:r>
              <w:rPr>
                <w:rFonts w:cs="Times New Roman"/>
              </w:rPr>
              <w:t>51,3</w:t>
            </w:r>
          </w:p>
        </w:tc>
      </w:tr>
    </w:tbl>
    <w:p w14:paraId="4EA33071" w14:textId="77777777" w:rsidR="00203698" w:rsidRDefault="00203698">
      <w:pPr>
        <w:jc w:val="left"/>
      </w:pPr>
    </w:p>
    <w:p w14:paraId="65863A16" w14:textId="77777777" w:rsidR="00203698" w:rsidRDefault="00000000">
      <w:r>
        <w:t xml:space="preserve">Kroz navedeni projekt osigurava se podrška IT sustavu Agencije, planira njegovo održavanje i poboljšanje.    </w:t>
      </w:r>
    </w:p>
    <w:p w14:paraId="696F526E" w14:textId="77777777" w:rsidR="00203698" w:rsidRDefault="00000000">
      <w:r>
        <w:t xml:space="preserve">Na razini 32 planirana su sredstva za pokrivanje troškova korištenje softverske aplikacije za izradu kartica strojovođa u iznosu od 2.550 EUR, zakup licenci za korištenje programa za centralizirano upravljanje dokumentacijom i elektroničko upravno poslovanje u iznosu od 16.950 EUR te pokrivanje tekućeg održavanja informatičke opreme i usluga ažuriranja postojećih računalnih baza u iznosu od 1.500 EUR. Udio navedenih materijalnih rashoda u projektu iznosi 85,17 %.    </w:t>
      </w:r>
    </w:p>
    <w:p w14:paraId="6EBA2A23" w14:textId="77777777" w:rsidR="00203698" w:rsidRDefault="00000000">
      <w:r>
        <w:t xml:space="preserve">Za nabavu licenci kao neproizvedene dugotrajne imovine planirani su rashodi u iznosu od 1.700 EUR prvenstveno za nabavu korisničkih licenci s udjelom od 6,46 %.   </w:t>
      </w:r>
    </w:p>
    <w:p w14:paraId="76EF7B4B" w14:textId="77777777" w:rsidR="00203698" w:rsidRDefault="00000000">
      <w:r>
        <w:t xml:space="preserve">Sredstva za nabavu informatičke opreme planirana su u iznosu od 2.200 EUR kao rezerva za zamjenu informatičke opreme (računala i računalne opreme) koja prestane s pordškom tijekom proračunske godine.   </w:t>
      </w:r>
    </w:p>
    <w:p w14:paraId="5C59F2BE" w14:textId="45E9727F" w:rsidR="00203698" w:rsidRDefault="00000000">
      <w:r>
        <w:t>Za 202</w:t>
      </w:r>
      <w:r w:rsidR="00244B64">
        <w:t>7</w:t>
      </w:r>
      <w:r>
        <w:t>. godini rashodi su planirani na razini 25.100 EUR, a za 2028. u iznosu od 34.800 EUR. Planirani rashodi koristit će se za pokrivanje tekućih troškova zakupa licenci i prava korištenja aplikativnih rješenja te nabavku opreme po potrebi/dotrajalosti.</w:t>
      </w:r>
    </w:p>
    <w:p w14:paraId="50B89B60" w14:textId="77777777" w:rsidR="00F40B2A" w:rsidRPr="00F40B2A" w:rsidRDefault="00F40B2A" w:rsidP="00F40B2A"/>
    <w:p w14:paraId="5169853A" w14:textId="77777777" w:rsidR="00F40B2A" w:rsidRPr="00F40B2A" w:rsidRDefault="00F40B2A" w:rsidP="00F40B2A"/>
    <w:p w14:paraId="3332E3B0" w14:textId="77777777" w:rsidR="00F40B2A" w:rsidRPr="00F40B2A" w:rsidRDefault="00F40B2A" w:rsidP="00F40B2A"/>
    <w:p w14:paraId="6A690B1D" w14:textId="77777777" w:rsidR="00F40B2A" w:rsidRPr="00F40B2A" w:rsidRDefault="00F40B2A" w:rsidP="00F40B2A"/>
    <w:p w14:paraId="4D9E1331" w14:textId="77777777" w:rsidR="00F40B2A" w:rsidRPr="00F40B2A" w:rsidRDefault="00F40B2A" w:rsidP="00F40B2A"/>
    <w:p w14:paraId="4343F8FB" w14:textId="77777777" w:rsidR="00F40B2A" w:rsidRDefault="00F40B2A" w:rsidP="00F40B2A"/>
    <w:p w14:paraId="030F2D80" w14:textId="5717C9B8" w:rsidR="00F40B2A" w:rsidRDefault="00F40B2A" w:rsidP="00F40B2A">
      <w:pPr>
        <w:tabs>
          <w:tab w:val="left" w:pos="6525"/>
        </w:tabs>
      </w:pPr>
      <w:r>
        <w:tab/>
        <w:t>v.d. RAVNATELJA</w:t>
      </w:r>
    </w:p>
    <w:p w14:paraId="2B6845DE" w14:textId="77777777" w:rsidR="00F40B2A" w:rsidRDefault="00F40B2A" w:rsidP="00F40B2A"/>
    <w:p w14:paraId="5CED2E0C" w14:textId="7014A515" w:rsidR="00F40B2A" w:rsidRPr="00F40B2A" w:rsidRDefault="00F40B2A" w:rsidP="00F40B2A">
      <w:pPr>
        <w:tabs>
          <w:tab w:val="left" w:pos="6090"/>
        </w:tabs>
      </w:pPr>
      <w:r>
        <w:tab/>
        <w:t xml:space="preserve">   Želimir Delač, dipl. ing. el.</w:t>
      </w:r>
    </w:p>
    <w:sectPr w:rsidR="00F40B2A" w:rsidRPr="00F40B2A"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8C6A9" w14:textId="77777777" w:rsidR="00CA1054" w:rsidRDefault="00CA1054" w:rsidP="00F352E6">
      <w:r>
        <w:separator/>
      </w:r>
    </w:p>
  </w:endnote>
  <w:endnote w:type="continuationSeparator" w:id="0">
    <w:p w14:paraId="22613094" w14:textId="77777777" w:rsidR="00CA1054" w:rsidRDefault="00CA1054"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7CA05" w14:textId="77777777" w:rsidR="00743DAC" w:rsidRPr="00D769ED" w:rsidRDefault="00743DAC" w:rsidP="007D4430">
    <w:pPr>
      <w:pStyle w:val="Footer"/>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96B9" w14:textId="77777777" w:rsidR="00CA1054" w:rsidRDefault="00CA1054" w:rsidP="00F352E6">
      <w:r>
        <w:separator/>
      </w:r>
    </w:p>
  </w:footnote>
  <w:footnote w:type="continuationSeparator" w:id="0">
    <w:p w14:paraId="5573E5EE" w14:textId="77777777" w:rsidR="00CA1054" w:rsidRDefault="00CA1054"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8E27" w14:textId="77777777" w:rsidR="00743DAC" w:rsidRDefault="00743DAC" w:rsidP="00A70582">
    <w:pPr>
      <w:pStyle w:val="Header"/>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7490A"/>
    <w:rsid w:val="001E5246"/>
    <w:rsid w:val="00203698"/>
    <w:rsid w:val="00244B64"/>
    <w:rsid w:val="0027042C"/>
    <w:rsid w:val="003009F4"/>
    <w:rsid w:val="00311AA1"/>
    <w:rsid w:val="00382225"/>
    <w:rsid w:val="00386953"/>
    <w:rsid w:val="00463609"/>
    <w:rsid w:val="00480C76"/>
    <w:rsid w:val="004C01B5"/>
    <w:rsid w:val="0052289C"/>
    <w:rsid w:val="00524A66"/>
    <w:rsid w:val="00526A7C"/>
    <w:rsid w:val="005A70C0"/>
    <w:rsid w:val="005B6ED7"/>
    <w:rsid w:val="005D49B2"/>
    <w:rsid w:val="005E2D85"/>
    <w:rsid w:val="00633683"/>
    <w:rsid w:val="00674346"/>
    <w:rsid w:val="006B3283"/>
    <w:rsid w:val="00743DAC"/>
    <w:rsid w:val="007665AA"/>
    <w:rsid w:val="007A7E45"/>
    <w:rsid w:val="007B6008"/>
    <w:rsid w:val="007D1C46"/>
    <w:rsid w:val="007D395B"/>
    <w:rsid w:val="007D4430"/>
    <w:rsid w:val="00847495"/>
    <w:rsid w:val="008636E2"/>
    <w:rsid w:val="0086414B"/>
    <w:rsid w:val="00866B48"/>
    <w:rsid w:val="008A7E2A"/>
    <w:rsid w:val="008F33EC"/>
    <w:rsid w:val="009359F2"/>
    <w:rsid w:val="0094382E"/>
    <w:rsid w:val="00951B1A"/>
    <w:rsid w:val="009E33D3"/>
    <w:rsid w:val="00A021A2"/>
    <w:rsid w:val="00A320E5"/>
    <w:rsid w:val="00A70582"/>
    <w:rsid w:val="00AB5FEA"/>
    <w:rsid w:val="00AB7B4E"/>
    <w:rsid w:val="00B15946"/>
    <w:rsid w:val="00B2737F"/>
    <w:rsid w:val="00B31E2E"/>
    <w:rsid w:val="00B41BF8"/>
    <w:rsid w:val="00BA487B"/>
    <w:rsid w:val="00BA7BD1"/>
    <w:rsid w:val="00BB642B"/>
    <w:rsid w:val="00BF02E9"/>
    <w:rsid w:val="00BF3F24"/>
    <w:rsid w:val="00C7470A"/>
    <w:rsid w:val="00CA1054"/>
    <w:rsid w:val="00DE2416"/>
    <w:rsid w:val="00E42E87"/>
    <w:rsid w:val="00E62EF0"/>
    <w:rsid w:val="00ED0E3A"/>
    <w:rsid w:val="00F352E6"/>
    <w:rsid w:val="00F40B2A"/>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DC579"/>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Heading1">
    <w:name w:val="heading 1"/>
    <w:basedOn w:val="Normal"/>
    <w:next w:val="Normal"/>
    <w:link w:val="Heading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Heading2">
    <w:name w:val="heading 2"/>
    <w:basedOn w:val="Normal"/>
    <w:next w:val="Normal"/>
    <w:link w:val="Heading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Heading3">
    <w:name w:val="heading 3"/>
    <w:basedOn w:val="Normal"/>
    <w:next w:val="Normal"/>
    <w:link w:val="Heading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Heading4">
    <w:name w:val="heading 4"/>
    <w:basedOn w:val="Normal"/>
    <w:next w:val="Normal"/>
    <w:link w:val="Heading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Heading5">
    <w:name w:val="heading 5"/>
    <w:basedOn w:val="Normal"/>
    <w:next w:val="Normal"/>
    <w:link w:val="Heading5Char"/>
    <w:qFormat/>
    <w:rsid w:val="00E62EF0"/>
    <w:pPr>
      <w:keepNext/>
      <w:keepLines/>
      <w:jc w:val="left"/>
      <w:outlineLvl w:val="4"/>
    </w:pPr>
    <w:rPr>
      <w:b/>
      <w:sz w:val="26"/>
      <w:szCs w:val="26"/>
    </w:rPr>
  </w:style>
  <w:style w:type="paragraph" w:styleId="Heading6">
    <w:name w:val="heading 6"/>
    <w:basedOn w:val="Normal"/>
    <w:next w:val="Normal"/>
    <w:link w:val="Heading6Char"/>
    <w:qFormat/>
    <w:rsid w:val="00E62EF0"/>
    <w:pPr>
      <w:keepNext/>
      <w:keepLines/>
      <w:jc w:val="left"/>
      <w:outlineLvl w:val="5"/>
    </w:pPr>
    <w:rPr>
      <w:b/>
      <w:sz w:val="24"/>
      <w:szCs w:val="24"/>
    </w:rPr>
  </w:style>
  <w:style w:type="paragraph" w:styleId="Heading7">
    <w:name w:val="heading 7"/>
    <w:basedOn w:val="Normal"/>
    <w:next w:val="Normal"/>
    <w:link w:val="Heading7Char"/>
    <w:qFormat/>
    <w:rsid w:val="00E62EF0"/>
    <w:pPr>
      <w:keepNext/>
      <w:jc w:val="left"/>
      <w:outlineLvl w:val="6"/>
    </w:pPr>
    <w:rPr>
      <w:b/>
      <w:spacing w:val="24"/>
      <w:szCs w:val="22"/>
    </w:rPr>
  </w:style>
  <w:style w:type="paragraph" w:styleId="Heading8">
    <w:name w:val="heading 8"/>
    <w:basedOn w:val="Normal6"/>
    <w:next w:val="Normal"/>
    <w:link w:val="Heading8Char"/>
    <w:uiPriority w:val="9"/>
    <w:unhideWhenUsed/>
    <w:qFormat/>
    <w:rsid w:val="00E62EF0"/>
    <w:pPr>
      <w:keepNext/>
      <w:keepLines/>
      <w:ind w:left="0"/>
      <w:outlineLvl w:val="7"/>
    </w:pPr>
    <w:rPr>
      <w:b/>
    </w:rPr>
  </w:style>
  <w:style w:type="paragraph" w:styleId="Heading9">
    <w:name w:val="heading 9"/>
    <w:basedOn w:val="Normal"/>
    <w:next w:val="Normal"/>
    <w:link w:val="Heading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B1A"/>
    <w:rPr>
      <w:rFonts w:ascii="Times New Roman" w:eastAsia="Times New Roman" w:hAnsi="Times New Roman" w:cs="Times New Roman"/>
      <w:b/>
      <w:spacing w:val="20"/>
      <w:sz w:val="32"/>
      <w:szCs w:val="32"/>
      <w:shd w:val="clear" w:color="auto" w:fill="E6E6E6"/>
      <w:lang w:val="sl-SI"/>
    </w:rPr>
  </w:style>
  <w:style w:type="character" w:customStyle="1" w:styleId="Heading2Char">
    <w:name w:val="Heading 2 Char"/>
    <w:basedOn w:val="DefaultParagraphFont"/>
    <w:link w:val="Heading2"/>
    <w:rsid w:val="00E62EF0"/>
    <w:rPr>
      <w:rFonts w:ascii="Times New Roman" w:eastAsia="Times New Roman" w:hAnsi="Times New Roman" w:cs="Times New Roman"/>
      <w:b/>
      <w:spacing w:val="20"/>
      <w:sz w:val="30"/>
      <w:szCs w:val="30"/>
      <w:shd w:val="clear" w:color="auto" w:fill="E6E6E6"/>
      <w:lang w:val="sl-SI"/>
    </w:rPr>
  </w:style>
  <w:style w:type="character" w:customStyle="1" w:styleId="Heading3Char">
    <w:name w:val="Heading 3 Char"/>
    <w:basedOn w:val="DefaultParagraphFont"/>
    <w:link w:val="Heading3"/>
    <w:rsid w:val="00FE4B89"/>
    <w:rPr>
      <w:rFonts w:ascii="Times New Roman" w:eastAsia="Times New Roman" w:hAnsi="Times New Roman" w:cs="Arial"/>
      <w:b/>
      <w:iCs/>
      <w:spacing w:val="20"/>
      <w:sz w:val="28"/>
      <w:szCs w:val="28"/>
      <w:shd w:val="clear" w:color="auto" w:fill="E6E6E6"/>
      <w:lang w:val="sl-SI"/>
    </w:rPr>
  </w:style>
  <w:style w:type="character" w:customStyle="1" w:styleId="Heading4Char">
    <w:name w:val="Heading 4 Char"/>
    <w:basedOn w:val="DefaultParagraphFont"/>
    <w:link w:val="Heading4"/>
    <w:rsid w:val="00951B1A"/>
    <w:rPr>
      <w:rFonts w:ascii="Times New Roman" w:eastAsia="Times New Roman" w:hAnsi="Times New Roman" w:cs="Times New Roman"/>
      <w:b/>
      <w:bCs/>
      <w:sz w:val="28"/>
      <w:szCs w:val="28"/>
      <w:lang w:val="sl-SI"/>
    </w:rPr>
  </w:style>
  <w:style w:type="character" w:customStyle="1" w:styleId="Heading5Char">
    <w:name w:val="Heading 5 Char"/>
    <w:basedOn w:val="DefaultParagraphFont"/>
    <w:link w:val="Heading5"/>
    <w:rsid w:val="00E62EF0"/>
    <w:rPr>
      <w:rFonts w:ascii="Times New Roman" w:eastAsia="Times New Roman" w:hAnsi="Times New Roman" w:cs="Times New Roman"/>
      <w:b/>
      <w:sz w:val="26"/>
      <w:szCs w:val="26"/>
      <w:lang w:val="sl-SI"/>
    </w:rPr>
  </w:style>
  <w:style w:type="character" w:customStyle="1" w:styleId="Heading6Char">
    <w:name w:val="Heading 6 Char"/>
    <w:basedOn w:val="DefaultParagraphFont"/>
    <w:link w:val="Heading6"/>
    <w:rsid w:val="00E62EF0"/>
    <w:rPr>
      <w:rFonts w:ascii="Times New Roman" w:eastAsia="Times New Roman" w:hAnsi="Times New Roman" w:cs="Times New Roman"/>
      <w:b/>
      <w:sz w:val="24"/>
      <w:szCs w:val="24"/>
      <w:lang w:val="sl-SI"/>
    </w:rPr>
  </w:style>
  <w:style w:type="character" w:customStyle="1" w:styleId="Heading7Char">
    <w:name w:val="Heading 7 Char"/>
    <w:basedOn w:val="DefaultParagraphFont"/>
    <w:link w:val="Heading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Header">
    <w:name w:val="header"/>
    <w:basedOn w:val="Normal"/>
    <w:link w:val="HeaderChar"/>
    <w:semiHidden/>
    <w:rsid w:val="00480C76"/>
    <w:pPr>
      <w:pBdr>
        <w:bottom w:val="single" w:sz="4" w:space="1" w:color="auto"/>
      </w:pBdr>
      <w:tabs>
        <w:tab w:val="center" w:pos="4536"/>
        <w:tab w:val="right" w:pos="9072"/>
      </w:tabs>
    </w:pPr>
    <w:rPr>
      <w:sz w:val="16"/>
    </w:rPr>
  </w:style>
  <w:style w:type="character" w:customStyle="1" w:styleId="HeaderChar">
    <w:name w:val="Header Char"/>
    <w:basedOn w:val="DefaultParagraphFont"/>
    <w:link w:val="Header"/>
    <w:semiHidden/>
    <w:rsid w:val="00480C76"/>
    <w:rPr>
      <w:rFonts w:ascii="Times New Roman" w:eastAsia="Times New Roman" w:hAnsi="Times New Roman" w:cs="Times New Roman"/>
      <w:sz w:val="16"/>
      <w:szCs w:val="20"/>
      <w:lang w:val="sl-SI"/>
    </w:rPr>
  </w:style>
  <w:style w:type="paragraph" w:styleId="Footer">
    <w:name w:val="footer"/>
    <w:basedOn w:val="Normal"/>
    <w:link w:val="FooterChar"/>
    <w:semiHidden/>
    <w:rsid w:val="00480C76"/>
    <w:pPr>
      <w:pBdr>
        <w:top w:val="single" w:sz="4" w:space="1" w:color="auto"/>
      </w:pBdr>
      <w:tabs>
        <w:tab w:val="right" w:pos="9540"/>
      </w:tabs>
      <w:ind w:right="-21"/>
      <w:jc w:val="left"/>
    </w:pPr>
    <w:rPr>
      <w:sz w:val="20"/>
    </w:rPr>
  </w:style>
  <w:style w:type="character" w:customStyle="1" w:styleId="FooterChar">
    <w:name w:val="Footer Char"/>
    <w:basedOn w:val="DefaultParagraphFont"/>
    <w:link w:val="Footer"/>
    <w:semiHidden/>
    <w:rsid w:val="00480C76"/>
    <w:rPr>
      <w:rFonts w:ascii="Times New Roman" w:eastAsia="Times New Roman" w:hAnsi="Times New Roman" w:cs="Times New Roman"/>
      <w:sz w:val="20"/>
      <w:szCs w:val="20"/>
      <w:lang w:val="sl-SI"/>
    </w:rPr>
  </w:style>
  <w:style w:type="character" w:styleId="PageNumber">
    <w:name w:val="page number"/>
    <w:basedOn w:val="DefaultParagraphFont"/>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DefaultParagraphFont"/>
    <w:link w:val="Normal3"/>
    <w:rsid w:val="00480C76"/>
    <w:rPr>
      <w:rFonts w:ascii="Times New Roman" w:eastAsia="Times New Roman" w:hAnsi="Times New Roman" w:cs="Times New Roman"/>
      <w:szCs w:val="20"/>
      <w:lang w:val="sl-SI"/>
    </w:rPr>
  </w:style>
  <w:style w:type="character" w:customStyle="1" w:styleId="Normal5Char">
    <w:name w:val="Normal 5 Char"/>
    <w:basedOn w:val="DefaultParagraphFont"/>
    <w:link w:val="Normal5"/>
    <w:rsid w:val="00480C76"/>
    <w:rPr>
      <w:rFonts w:ascii="Times New Roman" w:eastAsia="Times New Roman" w:hAnsi="Times New Roman" w:cs="Times New Roman"/>
      <w:szCs w:val="20"/>
      <w:lang w:val="sl-SI"/>
    </w:rPr>
  </w:style>
  <w:style w:type="character" w:customStyle="1" w:styleId="Normal4Char">
    <w:name w:val="Normal 4 Char"/>
    <w:basedOn w:val="DefaultParagraphFont"/>
    <w:link w:val="Normal4"/>
    <w:rsid w:val="00480C76"/>
    <w:rPr>
      <w:rFonts w:ascii="Times New Roman" w:eastAsia="Times New Roman" w:hAnsi="Times New Roman" w:cs="Times New Roman"/>
      <w:szCs w:val="20"/>
      <w:lang w:val="sl-SI"/>
    </w:rPr>
  </w:style>
  <w:style w:type="character" w:styleId="Emphasis">
    <w:name w:val="Emphasis"/>
    <w:basedOn w:val="DefaultParagraphFont"/>
    <w:qFormat/>
    <w:rsid w:val="00480C76"/>
    <w:rPr>
      <w:b/>
      <w:bCs/>
      <w:i w:val="0"/>
      <w:iCs w:val="0"/>
    </w:rPr>
  </w:style>
  <w:style w:type="character" w:styleId="Strong">
    <w:name w:val="Strong"/>
    <w:basedOn w:val="DefaultParagraphFont"/>
    <w:qFormat/>
    <w:rsid w:val="00480C76"/>
    <w:rPr>
      <w:b/>
      <w:bCs/>
    </w:rPr>
  </w:style>
  <w:style w:type="character" w:styleId="Hyperlink">
    <w:name w:val="Hyperlink"/>
    <w:basedOn w:val="DefaultParagraphFont"/>
    <w:rsid w:val="00480C76"/>
    <w:rPr>
      <w:color w:val="0000FF"/>
      <w:u w:val="single"/>
    </w:rPr>
  </w:style>
  <w:style w:type="table" w:styleId="TableGrid">
    <w:name w:val="Table Grid"/>
    <w:basedOn w:val="TableNormal"/>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DefaultParagraphFont"/>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Heading8Char">
    <w:name w:val="Heading 8 Char"/>
    <w:basedOn w:val="DefaultParagraphFont"/>
    <w:link w:val="Heading8"/>
    <w:uiPriority w:val="9"/>
    <w:rsid w:val="00E62EF0"/>
    <w:rPr>
      <w:rFonts w:ascii="Times New Roman" w:eastAsia="Times New Roman" w:hAnsi="Times New Roman" w:cs="Times New Roman"/>
      <w:b/>
      <w:szCs w:val="20"/>
      <w:lang w:val="sl-SI"/>
    </w:rPr>
  </w:style>
  <w:style w:type="character" w:customStyle="1" w:styleId="Heading9Char">
    <w:name w:val="Heading 9 Char"/>
    <w:basedOn w:val="DefaultParagraphFont"/>
    <w:link w:val="Heading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TableNormal"/>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TableNormal"/>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35C74-F0A5-43D9-90B4-B27B2CF5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Kristina Dzakula</cp:lastModifiedBy>
  <cp:revision>4</cp:revision>
  <dcterms:created xsi:type="dcterms:W3CDTF">2025-10-28T07:05:00Z</dcterms:created>
  <dcterms:modified xsi:type="dcterms:W3CDTF">2025-11-11T07:03:00Z</dcterms:modified>
</cp:coreProperties>
</file>